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C1A57" w14:textId="77777777" w:rsidR="00094222" w:rsidRDefault="00094222" w:rsidP="00094222">
      <w:pPr>
        <w:spacing w:line="360" w:lineRule="auto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</w:rPr>
        <w:t>附件四</w:t>
      </w:r>
    </w:p>
    <w:p w14:paraId="6E5B633B" w14:textId="77777777" w:rsidR="00094222" w:rsidRPr="00957740" w:rsidRDefault="00094222" w:rsidP="00094222">
      <w:pPr>
        <w:spacing w:line="360" w:lineRule="auto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957740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各領域核心概念與學習內容清單</w:t>
      </w:r>
    </w:p>
    <w:p w14:paraId="42FAB04A" w14:textId="12291BB6" w:rsidR="00094222" w:rsidRPr="00491566" w:rsidRDefault="00094222" w:rsidP="0049156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96"/>
          <w:tab w:val="center" w:pos="5102"/>
        </w:tabs>
        <w:spacing w:before="240" w:after="240"/>
        <w:rPr>
          <w:rFonts w:ascii="標楷體" w:eastAsia="標楷體" w:hAnsi="標楷體" w:cs="標楷體"/>
          <w:b/>
          <w:color w:val="FF0000"/>
          <w:sz w:val="28"/>
          <w:szCs w:val="28"/>
        </w:rPr>
      </w:pPr>
      <w:r>
        <w:rPr>
          <w:rFonts w:ascii="標楷體" w:eastAsia="標楷體" w:hAnsi="標楷體" w:cs="標楷體"/>
          <w:b/>
          <w:color w:val="FF0000"/>
          <w:sz w:val="28"/>
          <w:szCs w:val="28"/>
        </w:rPr>
        <w:t>選擇下表的核心概念，</w:t>
      </w:r>
      <w:r w:rsidR="00491566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填入報名表欄位，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決定自己欲拍攝的學習內容(可查詢</w:t>
      </w:r>
      <w:r w:rsidR="00491566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附件中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11</w:t>
      </w:r>
      <w:r w:rsidR="004D1F87">
        <w:rPr>
          <w:rFonts w:ascii="標楷體" w:eastAsia="標楷體" w:hAnsi="標楷體" w:cs="標楷體"/>
          <w:b/>
          <w:color w:val="FF0000"/>
          <w:sz w:val="28"/>
          <w:szCs w:val="28"/>
        </w:rPr>
        <w:t>1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核心概念影片建置規畫表Excel檔，確認</w:t>
      </w:r>
      <w:r w:rsidR="00491566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拍攝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主題是否有重複)</w:t>
      </w:r>
      <w:bookmarkStart w:id="0" w:name="_heading=h.30j0zll" w:colFirst="0" w:colLast="0"/>
      <w:bookmarkEnd w:id="0"/>
    </w:p>
    <w:p w14:paraId="2649E96A" w14:textId="77777777" w:rsidR="00094222" w:rsidRDefault="00094222" w:rsidP="00094222">
      <w:pPr>
        <w:widowControl/>
        <w:tabs>
          <w:tab w:val="left" w:pos="396"/>
          <w:tab w:val="center" w:pos="5102"/>
        </w:tabs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【國文領域】</w:t>
      </w:r>
    </w:p>
    <w:tbl>
      <w:tblPr>
        <w:tblStyle w:val="af9"/>
        <w:tblW w:w="10364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2419"/>
        <w:gridCol w:w="7230"/>
      </w:tblGrid>
      <w:tr w:rsidR="00094222" w14:paraId="6893AB68" w14:textId="77777777" w:rsidTr="00017E29">
        <w:trPr>
          <w:trHeight w:val="70"/>
        </w:trPr>
        <w:tc>
          <w:tcPr>
            <w:tcW w:w="715" w:type="dxa"/>
            <w:shd w:val="clear" w:color="auto" w:fill="F2F2F2"/>
            <w:vAlign w:val="center"/>
          </w:tcPr>
          <w:p w14:paraId="7C8C5BE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419" w:type="dxa"/>
            <w:shd w:val="clear" w:color="auto" w:fill="F2F2F2"/>
            <w:vAlign w:val="center"/>
          </w:tcPr>
          <w:p w14:paraId="2FAD8E7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7230" w:type="dxa"/>
            <w:shd w:val="clear" w:color="auto" w:fill="F2F2F2"/>
            <w:vAlign w:val="center"/>
          </w:tcPr>
          <w:p w14:paraId="303E7EC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31EC943A" w14:textId="77777777" w:rsidTr="00017E29">
        <w:trPr>
          <w:trHeight w:val="226"/>
        </w:trPr>
        <w:tc>
          <w:tcPr>
            <w:tcW w:w="715" w:type="dxa"/>
            <w:vAlign w:val="center"/>
          </w:tcPr>
          <w:p w14:paraId="0423975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419" w:type="dxa"/>
            <w:vAlign w:val="center"/>
          </w:tcPr>
          <w:p w14:paraId="6470AC6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文字篇章─字詞</w:t>
            </w:r>
          </w:p>
        </w:tc>
        <w:tc>
          <w:tcPr>
            <w:tcW w:w="7230" w:type="dxa"/>
            <w:vAlign w:val="center"/>
          </w:tcPr>
          <w:p w14:paraId="5193E60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字形、字音、字義、六書、書法碑帖</w:t>
            </w:r>
          </w:p>
        </w:tc>
      </w:tr>
      <w:tr w:rsidR="00094222" w14:paraId="73784C9A" w14:textId="77777777" w:rsidTr="00017E29">
        <w:trPr>
          <w:trHeight w:val="307"/>
        </w:trPr>
        <w:tc>
          <w:tcPr>
            <w:tcW w:w="715" w:type="dxa"/>
            <w:vAlign w:val="center"/>
          </w:tcPr>
          <w:p w14:paraId="5BFF4E4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419" w:type="dxa"/>
            <w:vAlign w:val="center"/>
          </w:tcPr>
          <w:p w14:paraId="6C6C135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文字篇章─句段</w:t>
            </w:r>
          </w:p>
        </w:tc>
        <w:tc>
          <w:tcPr>
            <w:tcW w:w="7230" w:type="dxa"/>
            <w:vAlign w:val="center"/>
          </w:tcPr>
          <w:p w14:paraId="092F37B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標點符號、句型、文句邏輯與意義</w:t>
            </w:r>
          </w:p>
        </w:tc>
      </w:tr>
      <w:tr w:rsidR="00094222" w14:paraId="22DEFDA8" w14:textId="77777777" w:rsidTr="00017E29">
        <w:trPr>
          <w:trHeight w:val="318"/>
        </w:trPr>
        <w:tc>
          <w:tcPr>
            <w:tcW w:w="715" w:type="dxa"/>
            <w:vAlign w:val="center"/>
          </w:tcPr>
          <w:p w14:paraId="691F9ED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419" w:type="dxa"/>
            <w:vAlign w:val="center"/>
          </w:tcPr>
          <w:p w14:paraId="7D1D715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文字篇章─篇章</w:t>
            </w:r>
          </w:p>
        </w:tc>
        <w:tc>
          <w:tcPr>
            <w:tcW w:w="7230" w:type="dxa"/>
            <w:vAlign w:val="center"/>
          </w:tcPr>
          <w:p w14:paraId="6D925BF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篇章主旨、結構、寓意</w:t>
            </w:r>
          </w:p>
        </w:tc>
      </w:tr>
      <w:tr w:rsidR="00094222" w14:paraId="3F4E503A" w14:textId="77777777" w:rsidTr="00017E29">
        <w:trPr>
          <w:trHeight w:val="307"/>
        </w:trPr>
        <w:tc>
          <w:tcPr>
            <w:tcW w:w="715" w:type="dxa"/>
            <w:vAlign w:val="center"/>
          </w:tcPr>
          <w:p w14:paraId="5FB5D14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419" w:type="dxa"/>
            <w:vAlign w:val="center"/>
          </w:tcPr>
          <w:p w14:paraId="5D2B447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文字篇章─文體</w:t>
            </w:r>
          </w:p>
        </w:tc>
        <w:tc>
          <w:tcPr>
            <w:tcW w:w="7230" w:type="dxa"/>
            <w:vAlign w:val="center"/>
          </w:tcPr>
          <w:p w14:paraId="5FEDC29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白話、文言(韻文、非韻文)</w:t>
            </w:r>
          </w:p>
        </w:tc>
      </w:tr>
      <w:tr w:rsidR="00094222" w14:paraId="5E671312" w14:textId="77777777" w:rsidTr="00017E29">
        <w:trPr>
          <w:trHeight w:val="626"/>
        </w:trPr>
        <w:tc>
          <w:tcPr>
            <w:tcW w:w="715" w:type="dxa"/>
            <w:vAlign w:val="center"/>
          </w:tcPr>
          <w:p w14:paraId="3A689E3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419" w:type="dxa"/>
            <w:vAlign w:val="center"/>
          </w:tcPr>
          <w:p w14:paraId="5A8A28A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文本表述─記敘文本</w:t>
            </w:r>
          </w:p>
        </w:tc>
        <w:tc>
          <w:tcPr>
            <w:tcW w:w="7230" w:type="dxa"/>
            <w:vAlign w:val="center"/>
          </w:tcPr>
          <w:p w14:paraId="0145660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順敘、倒敘、插敘、補敘、描寫法</w:t>
            </w:r>
          </w:p>
        </w:tc>
      </w:tr>
      <w:tr w:rsidR="00094222" w14:paraId="0099CB69" w14:textId="77777777" w:rsidTr="00017E29">
        <w:trPr>
          <w:trHeight w:val="637"/>
        </w:trPr>
        <w:tc>
          <w:tcPr>
            <w:tcW w:w="715" w:type="dxa"/>
            <w:vAlign w:val="center"/>
          </w:tcPr>
          <w:p w14:paraId="33538A2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419" w:type="dxa"/>
            <w:vAlign w:val="center"/>
          </w:tcPr>
          <w:p w14:paraId="26E8061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文本表述─抒情文本</w:t>
            </w:r>
          </w:p>
        </w:tc>
        <w:tc>
          <w:tcPr>
            <w:tcW w:w="7230" w:type="dxa"/>
            <w:vAlign w:val="center"/>
          </w:tcPr>
          <w:p w14:paraId="2E3D4C0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直接抒情、間接抒情、人我交流、社會體悟、自然生命感悟</w:t>
            </w:r>
          </w:p>
        </w:tc>
      </w:tr>
      <w:tr w:rsidR="00094222" w14:paraId="3DA0FFC4" w14:textId="77777777" w:rsidTr="00017E29">
        <w:trPr>
          <w:trHeight w:val="626"/>
        </w:trPr>
        <w:tc>
          <w:tcPr>
            <w:tcW w:w="715" w:type="dxa"/>
            <w:vAlign w:val="center"/>
          </w:tcPr>
          <w:p w14:paraId="271D371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419" w:type="dxa"/>
            <w:vAlign w:val="center"/>
          </w:tcPr>
          <w:p w14:paraId="26D72CD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文本表述─說明文本</w:t>
            </w:r>
          </w:p>
        </w:tc>
        <w:tc>
          <w:tcPr>
            <w:tcW w:w="7230" w:type="dxa"/>
            <w:vAlign w:val="center"/>
          </w:tcPr>
          <w:p w14:paraId="27DF53D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客觀理性說明、因果對比寫作手法、數據圖表輔助說明</w:t>
            </w:r>
          </w:p>
        </w:tc>
      </w:tr>
      <w:tr w:rsidR="00094222" w14:paraId="2B514EF4" w14:textId="77777777" w:rsidTr="00017E29">
        <w:trPr>
          <w:trHeight w:val="626"/>
        </w:trPr>
        <w:tc>
          <w:tcPr>
            <w:tcW w:w="715" w:type="dxa"/>
            <w:vAlign w:val="center"/>
          </w:tcPr>
          <w:p w14:paraId="6480E66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419" w:type="dxa"/>
            <w:vAlign w:val="center"/>
          </w:tcPr>
          <w:p w14:paraId="401481B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文本表述─議論文本</w:t>
            </w:r>
          </w:p>
        </w:tc>
        <w:tc>
          <w:tcPr>
            <w:tcW w:w="7230" w:type="dxa"/>
            <w:vAlign w:val="center"/>
          </w:tcPr>
          <w:p w14:paraId="6DC14A6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論據、論證</w:t>
            </w:r>
          </w:p>
        </w:tc>
      </w:tr>
      <w:tr w:rsidR="00094222" w14:paraId="435A4D15" w14:textId="77777777" w:rsidTr="00017E29">
        <w:trPr>
          <w:trHeight w:val="626"/>
        </w:trPr>
        <w:tc>
          <w:tcPr>
            <w:tcW w:w="715" w:type="dxa"/>
            <w:vAlign w:val="center"/>
          </w:tcPr>
          <w:p w14:paraId="694EBD2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419" w:type="dxa"/>
            <w:vAlign w:val="center"/>
          </w:tcPr>
          <w:p w14:paraId="0CBC860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文本表述─應用文本</w:t>
            </w:r>
          </w:p>
        </w:tc>
        <w:tc>
          <w:tcPr>
            <w:tcW w:w="7230" w:type="dxa"/>
            <w:vAlign w:val="center"/>
          </w:tcPr>
          <w:p w14:paraId="376F494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生活應用方面、人際溝通方面、學習應用方面（自傳、書信、便條、對聯、簡報）</w:t>
            </w:r>
          </w:p>
        </w:tc>
      </w:tr>
      <w:tr w:rsidR="00094222" w14:paraId="549FF39F" w14:textId="77777777" w:rsidTr="00017E29">
        <w:trPr>
          <w:trHeight w:val="318"/>
        </w:trPr>
        <w:tc>
          <w:tcPr>
            <w:tcW w:w="715" w:type="dxa"/>
            <w:vAlign w:val="center"/>
          </w:tcPr>
          <w:p w14:paraId="7A4BEBE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419" w:type="dxa"/>
            <w:vAlign w:val="center"/>
          </w:tcPr>
          <w:p w14:paraId="4DA4FAF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閱讀理解</w:t>
            </w:r>
          </w:p>
        </w:tc>
        <w:tc>
          <w:tcPr>
            <w:tcW w:w="7230" w:type="dxa"/>
            <w:vAlign w:val="center"/>
          </w:tcPr>
          <w:p w14:paraId="4D3DBD9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165BA1FC" w14:textId="77777777" w:rsidTr="00017E29">
        <w:trPr>
          <w:trHeight w:val="307"/>
        </w:trPr>
        <w:tc>
          <w:tcPr>
            <w:tcW w:w="715" w:type="dxa"/>
            <w:vAlign w:val="center"/>
          </w:tcPr>
          <w:p w14:paraId="1751EE7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2419" w:type="dxa"/>
            <w:vAlign w:val="center"/>
          </w:tcPr>
          <w:p w14:paraId="3D35D43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寫作策略</w:t>
            </w:r>
          </w:p>
        </w:tc>
        <w:tc>
          <w:tcPr>
            <w:tcW w:w="7230" w:type="dxa"/>
            <w:vAlign w:val="center"/>
          </w:tcPr>
          <w:p w14:paraId="551B60C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14:paraId="5461FA2A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4DC7113F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【英文領域】</w:t>
      </w:r>
    </w:p>
    <w:tbl>
      <w:tblPr>
        <w:tblStyle w:val="afa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116"/>
      </w:tblGrid>
      <w:tr w:rsidR="00094222" w14:paraId="7E14B4F5" w14:textId="77777777" w:rsidTr="00017E29">
        <w:trPr>
          <w:trHeight w:val="70"/>
        </w:trPr>
        <w:tc>
          <w:tcPr>
            <w:tcW w:w="704" w:type="dxa"/>
            <w:shd w:val="clear" w:color="auto" w:fill="F2F2F2"/>
            <w:vAlign w:val="center"/>
          </w:tcPr>
          <w:p w14:paraId="68ED7E9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381" w:type="dxa"/>
            <w:shd w:val="clear" w:color="auto" w:fill="F2F2F2"/>
            <w:vAlign w:val="center"/>
          </w:tcPr>
          <w:p w14:paraId="7A1F605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7116" w:type="dxa"/>
            <w:shd w:val="clear" w:color="auto" w:fill="F2F2F2"/>
            <w:vAlign w:val="center"/>
          </w:tcPr>
          <w:p w14:paraId="20BFEDD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64A341E7" w14:textId="77777777" w:rsidTr="00017E29">
        <w:trPr>
          <w:trHeight w:val="225"/>
        </w:trPr>
        <w:tc>
          <w:tcPr>
            <w:tcW w:w="704" w:type="dxa"/>
            <w:vAlign w:val="center"/>
          </w:tcPr>
          <w:p w14:paraId="7B6F295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381" w:type="dxa"/>
            <w:vAlign w:val="center"/>
          </w:tcPr>
          <w:p w14:paraId="7292D97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語言知識─字母</w:t>
            </w:r>
          </w:p>
        </w:tc>
        <w:tc>
          <w:tcPr>
            <w:tcW w:w="7116" w:type="dxa"/>
            <w:vAlign w:val="center"/>
          </w:tcPr>
          <w:p w14:paraId="06AE37E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連續體大小寫字母</w:t>
            </w:r>
          </w:p>
        </w:tc>
      </w:tr>
      <w:tr w:rsidR="00094222" w14:paraId="148C8880" w14:textId="77777777" w:rsidTr="00017E29">
        <w:tc>
          <w:tcPr>
            <w:tcW w:w="704" w:type="dxa"/>
            <w:vAlign w:val="center"/>
          </w:tcPr>
          <w:p w14:paraId="6624227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381" w:type="dxa"/>
            <w:vAlign w:val="center"/>
          </w:tcPr>
          <w:p w14:paraId="134B307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語言知識─語音</w:t>
            </w:r>
          </w:p>
        </w:tc>
        <w:tc>
          <w:tcPr>
            <w:tcW w:w="7116" w:type="dxa"/>
            <w:vAlign w:val="center"/>
          </w:tcPr>
          <w:p w14:paraId="468FC52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句子的發音、重音及語調，歌謠、韻文的節奏，字母拼讀規則</w:t>
            </w:r>
          </w:p>
        </w:tc>
      </w:tr>
      <w:tr w:rsidR="00094222" w14:paraId="78853C1E" w14:textId="77777777" w:rsidTr="00017E29">
        <w:tc>
          <w:tcPr>
            <w:tcW w:w="704" w:type="dxa"/>
            <w:vAlign w:val="center"/>
          </w:tcPr>
          <w:p w14:paraId="6E5D439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381" w:type="dxa"/>
            <w:vAlign w:val="center"/>
          </w:tcPr>
          <w:p w14:paraId="0AF7787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語言知識─字詞</w:t>
            </w:r>
          </w:p>
        </w:tc>
        <w:tc>
          <w:tcPr>
            <w:tcW w:w="7116" w:type="dxa"/>
            <w:vAlign w:val="center"/>
          </w:tcPr>
          <w:p w14:paraId="52D60B8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教室用語、生活用語、1,200字詞</w:t>
            </w:r>
          </w:p>
        </w:tc>
      </w:tr>
      <w:tr w:rsidR="00094222" w14:paraId="02E3A740" w14:textId="77777777" w:rsidTr="00017E29">
        <w:tc>
          <w:tcPr>
            <w:tcW w:w="704" w:type="dxa"/>
            <w:vAlign w:val="center"/>
          </w:tcPr>
          <w:p w14:paraId="2A60315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381" w:type="dxa"/>
            <w:vAlign w:val="center"/>
          </w:tcPr>
          <w:p w14:paraId="475122A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語言知識─句構</w:t>
            </w:r>
          </w:p>
        </w:tc>
        <w:tc>
          <w:tcPr>
            <w:tcW w:w="7116" w:type="dxa"/>
            <w:vAlign w:val="center"/>
          </w:tcPr>
          <w:p w14:paraId="0EAC4BC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文法句型</w:t>
            </w:r>
          </w:p>
        </w:tc>
      </w:tr>
      <w:tr w:rsidR="00094222" w14:paraId="637A3771" w14:textId="77777777" w:rsidTr="00017E29">
        <w:tc>
          <w:tcPr>
            <w:tcW w:w="704" w:type="dxa"/>
            <w:vAlign w:val="center"/>
          </w:tcPr>
          <w:p w14:paraId="7293FE3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381" w:type="dxa"/>
            <w:vAlign w:val="center"/>
          </w:tcPr>
          <w:p w14:paraId="328B83A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語言知識─篇章</w:t>
            </w:r>
          </w:p>
        </w:tc>
        <w:tc>
          <w:tcPr>
            <w:tcW w:w="7116" w:type="dxa"/>
            <w:vAlign w:val="center"/>
          </w:tcPr>
          <w:p w14:paraId="2D45A29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歌謠、韻文、短文（大意）、故事（背景、人物、事件、結局）、短劇、圖表、公共廣播、書信、不同體裁或文體比較</w:t>
            </w:r>
          </w:p>
        </w:tc>
      </w:tr>
      <w:tr w:rsidR="00094222" w14:paraId="04754C41" w14:textId="77777777" w:rsidTr="00017E29">
        <w:tc>
          <w:tcPr>
            <w:tcW w:w="704" w:type="dxa"/>
            <w:vAlign w:val="center"/>
          </w:tcPr>
          <w:p w14:paraId="62ADCEA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381" w:type="dxa"/>
            <w:vAlign w:val="center"/>
          </w:tcPr>
          <w:p w14:paraId="40DEC0E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溝通功能</w:t>
            </w:r>
          </w:p>
        </w:tc>
        <w:tc>
          <w:tcPr>
            <w:tcW w:w="7116" w:type="dxa"/>
            <w:vAlign w:val="center"/>
          </w:tcPr>
          <w:p w14:paraId="3C9A3F2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生活溝通、自己和他人的描述、感受的表達、圖片描述、角色扮演、引導式討論</w:t>
            </w:r>
          </w:p>
        </w:tc>
      </w:tr>
      <w:tr w:rsidR="00094222" w14:paraId="4075E009" w14:textId="77777777" w:rsidTr="00017E29">
        <w:tc>
          <w:tcPr>
            <w:tcW w:w="704" w:type="dxa"/>
            <w:vAlign w:val="center"/>
          </w:tcPr>
          <w:p w14:paraId="22FB1CF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381" w:type="dxa"/>
            <w:vAlign w:val="center"/>
          </w:tcPr>
          <w:p w14:paraId="1693619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文化與習俗</w:t>
            </w:r>
          </w:p>
        </w:tc>
        <w:tc>
          <w:tcPr>
            <w:tcW w:w="7116" w:type="dxa"/>
            <w:vAlign w:val="center"/>
          </w:tcPr>
          <w:p w14:paraId="2F147FC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國內外節慶、風俗、世界觀、禮儀</w:t>
            </w:r>
          </w:p>
        </w:tc>
      </w:tr>
      <w:tr w:rsidR="00094222" w14:paraId="150D8CFE" w14:textId="77777777" w:rsidTr="00017E29">
        <w:tc>
          <w:tcPr>
            <w:tcW w:w="704" w:type="dxa"/>
            <w:vAlign w:val="center"/>
          </w:tcPr>
          <w:p w14:paraId="052099B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8</w:t>
            </w:r>
          </w:p>
        </w:tc>
        <w:tc>
          <w:tcPr>
            <w:tcW w:w="2381" w:type="dxa"/>
            <w:vAlign w:val="center"/>
          </w:tcPr>
          <w:p w14:paraId="4EB55F7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思考能力</w:t>
            </w:r>
          </w:p>
        </w:tc>
        <w:tc>
          <w:tcPr>
            <w:tcW w:w="7116" w:type="dxa"/>
            <w:vAlign w:val="center"/>
          </w:tcPr>
          <w:p w14:paraId="1F1C203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綜合資料推測，訊息比較、歸類、排序，因果關係釐清，客觀事實和主觀意見的分辨</w:t>
            </w:r>
          </w:p>
        </w:tc>
      </w:tr>
      <w:tr w:rsidR="00094222" w14:paraId="2A6553F0" w14:textId="77777777" w:rsidTr="00017E29">
        <w:tc>
          <w:tcPr>
            <w:tcW w:w="704" w:type="dxa"/>
            <w:vAlign w:val="center"/>
          </w:tcPr>
          <w:p w14:paraId="43E6B50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381" w:type="dxa"/>
            <w:vAlign w:val="center"/>
          </w:tcPr>
          <w:p w14:paraId="04BBB5B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閱讀理解</w:t>
            </w:r>
          </w:p>
        </w:tc>
        <w:tc>
          <w:tcPr>
            <w:tcW w:w="7116" w:type="dxa"/>
            <w:vAlign w:val="center"/>
          </w:tcPr>
          <w:p w14:paraId="3036339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7C8B5E50" w14:textId="77777777" w:rsidTr="00017E29">
        <w:tc>
          <w:tcPr>
            <w:tcW w:w="704" w:type="dxa"/>
            <w:vAlign w:val="center"/>
          </w:tcPr>
          <w:p w14:paraId="0C51E73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381" w:type="dxa"/>
            <w:vAlign w:val="center"/>
          </w:tcPr>
          <w:p w14:paraId="3D21132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寫作策略</w:t>
            </w:r>
          </w:p>
        </w:tc>
        <w:tc>
          <w:tcPr>
            <w:tcW w:w="7116" w:type="dxa"/>
            <w:vAlign w:val="center"/>
          </w:tcPr>
          <w:p w14:paraId="38E9CDD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14:paraId="09AE2AC3" w14:textId="77777777" w:rsidR="00094222" w:rsidRDefault="00094222" w:rsidP="00094222">
      <w:pPr>
        <w:widowControl/>
        <w:spacing w:before="240" w:after="240"/>
        <w:rPr>
          <w:rFonts w:ascii="標楷體" w:eastAsia="標楷體" w:hAnsi="標楷體" w:cs="標楷體"/>
          <w:b/>
          <w:sz w:val="32"/>
          <w:szCs w:val="32"/>
        </w:rPr>
      </w:pPr>
    </w:p>
    <w:p w14:paraId="79AB2C84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【數學領域】</w:t>
      </w:r>
    </w:p>
    <w:tbl>
      <w:tblPr>
        <w:tblStyle w:val="afb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977"/>
        <w:gridCol w:w="5670"/>
      </w:tblGrid>
      <w:tr w:rsidR="00094222" w14:paraId="1CD058C1" w14:textId="77777777" w:rsidTr="00017E29">
        <w:trPr>
          <w:trHeight w:val="70"/>
        </w:trPr>
        <w:tc>
          <w:tcPr>
            <w:tcW w:w="704" w:type="dxa"/>
            <w:shd w:val="clear" w:color="auto" w:fill="F2F2F2"/>
            <w:vAlign w:val="center"/>
          </w:tcPr>
          <w:p w14:paraId="36D7AE3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0B42CA4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5670" w:type="dxa"/>
            <w:shd w:val="clear" w:color="auto" w:fill="F2F2F2"/>
            <w:vAlign w:val="center"/>
          </w:tcPr>
          <w:p w14:paraId="1C55A60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6AA9C71B" w14:textId="77777777" w:rsidTr="00017E29">
        <w:trPr>
          <w:trHeight w:val="584"/>
        </w:trPr>
        <w:tc>
          <w:tcPr>
            <w:tcW w:w="704" w:type="dxa"/>
            <w:vAlign w:val="center"/>
          </w:tcPr>
          <w:p w14:paraId="7FE9ACA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977" w:type="dxa"/>
            <w:vAlign w:val="center"/>
          </w:tcPr>
          <w:p w14:paraId="4291093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整數與數線</w:t>
            </w:r>
          </w:p>
        </w:tc>
        <w:tc>
          <w:tcPr>
            <w:tcW w:w="5670" w:type="dxa"/>
            <w:vMerge w:val="restart"/>
            <w:vAlign w:val="center"/>
          </w:tcPr>
          <w:p w14:paraId="511A48C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100以內的質數</w:t>
            </w:r>
          </w:p>
          <w:p w14:paraId="7867126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質因數分解的標準分解式</w:t>
            </w:r>
          </w:p>
          <w:p w14:paraId="2539A28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負數與數的四則混合運(算含分數、小數)</w:t>
            </w:r>
          </w:p>
          <w:p w14:paraId="2F1DF0C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數的運算規律</w:t>
            </w:r>
          </w:p>
          <w:p w14:paraId="2AAB28A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數線</w:t>
            </w:r>
          </w:p>
          <w:p w14:paraId="0342B1F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指數的意義</w:t>
            </w:r>
          </w:p>
          <w:p w14:paraId="30B2CFF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指數律</w:t>
            </w:r>
          </w:p>
          <w:p w14:paraId="56DFF74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科學記號</w:t>
            </w:r>
          </w:p>
          <w:p w14:paraId="691EBF3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比與比例式</w:t>
            </w:r>
          </w:p>
          <w:p w14:paraId="5B9A084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簡單圖形與幾何符號</w:t>
            </w:r>
          </w:p>
          <w:p w14:paraId="3F3B81B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三視圖</w:t>
            </w:r>
          </w:p>
          <w:p w14:paraId="68EB92E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垂直</w:t>
            </w:r>
          </w:p>
          <w:p w14:paraId="3070ABA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線對稱的性質</w:t>
            </w:r>
          </w:p>
          <w:p w14:paraId="6D76BEF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線對稱的基本圖形</w:t>
            </w:r>
          </w:p>
          <w:p w14:paraId="7F88457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平面直角坐標系</w:t>
            </w:r>
          </w:p>
          <w:p w14:paraId="29DDFAA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代數符號</w:t>
            </w:r>
          </w:p>
          <w:p w14:paraId="43E61F2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一元一次方程式的意義</w:t>
            </w:r>
          </w:p>
          <w:p w14:paraId="6E45FB6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一元一次方程式的解法與應用</w:t>
            </w:r>
          </w:p>
          <w:p w14:paraId="0DC9746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二元一次聯立方程式的意義</w:t>
            </w:r>
          </w:p>
          <w:p w14:paraId="04838E3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二元一次聯立方程式的解法與應用</w:t>
            </w:r>
          </w:p>
          <w:p w14:paraId="45F415B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統計圖表</w:t>
            </w:r>
          </w:p>
          <w:p w14:paraId="3FF30F9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統計數據</w:t>
            </w:r>
          </w:p>
        </w:tc>
      </w:tr>
      <w:tr w:rsidR="00094222" w14:paraId="7D60B7FB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0E4839F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977" w:type="dxa"/>
            <w:vAlign w:val="center"/>
          </w:tcPr>
          <w:p w14:paraId="03E391F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標準分解式與分數運算</w:t>
            </w:r>
          </w:p>
        </w:tc>
        <w:tc>
          <w:tcPr>
            <w:tcW w:w="5670" w:type="dxa"/>
            <w:vMerge/>
            <w:vAlign w:val="center"/>
          </w:tcPr>
          <w:p w14:paraId="4C6297A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7FBDA861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027F21F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977" w:type="dxa"/>
            <w:vAlign w:val="center"/>
          </w:tcPr>
          <w:p w14:paraId="62474F2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一元一次方程式</w:t>
            </w:r>
          </w:p>
        </w:tc>
        <w:tc>
          <w:tcPr>
            <w:tcW w:w="5670" w:type="dxa"/>
            <w:vMerge/>
            <w:vAlign w:val="center"/>
          </w:tcPr>
          <w:p w14:paraId="64B49B7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3777A103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29F1844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977" w:type="dxa"/>
            <w:vAlign w:val="center"/>
          </w:tcPr>
          <w:p w14:paraId="316B848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二元一次聯立方程式</w:t>
            </w:r>
          </w:p>
        </w:tc>
        <w:tc>
          <w:tcPr>
            <w:tcW w:w="5670" w:type="dxa"/>
            <w:vMerge/>
            <w:vAlign w:val="center"/>
          </w:tcPr>
          <w:p w14:paraId="04C93EB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0870D85E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0368C23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977" w:type="dxa"/>
            <w:vAlign w:val="center"/>
          </w:tcPr>
          <w:p w14:paraId="64EF6E7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直角坐標與二元一次聯立方程式的圖形</w:t>
            </w:r>
          </w:p>
        </w:tc>
        <w:tc>
          <w:tcPr>
            <w:tcW w:w="5670" w:type="dxa"/>
            <w:vMerge/>
            <w:vAlign w:val="center"/>
          </w:tcPr>
          <w:p w14:paraId="506D3401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598D7CB8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6C2944F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977" w:type="dxa"/>
            <w:vAlign w:val="center"/>
          </w:tcPr>
          <w:p w14:paraId="0648C2F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比與比例</w:t>
            </w:r>
          </w:p>
        </w:tc>
        <w:tc>
          <w:tcPr>
            <w:tcW w:w="5670" w:type="dxa"/>
            <w:vMerge/>
            <w:vAlign w:val="center"/>
          </w:tcPr>
          <w:p w14:paraId="306CD0A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5EBA97FA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23F687D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977" w:type="dxa"/>
            <w:vAlign w:val="center"/>
          </w:tcPr>
          <w:p w14:paraId="43C5491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一元一次不等式</w:t>
            </w:r>
          </w:p>
        </w:tc>
        <w:tc>
          <w:tcPr>
            <w:tcW w:w="5670" w:type="dxa"/>
            <w:vMerge/>
            <w:vAlign w:val="center"/>
          </w:tcPr>
          <w:p w14:paraId="02930F32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33B583AA" w14:textId="77777777" w:rsidTr="00017E29">
        <w:trPr>
          <w:trHeight w:val="871"/>
        </w:trPr>
        <w:tc>
          <w:tcPr>
            <w:tcW w:w="704" w:type="dxa"/>
            <w:vAlign w:val="center"/>
          </w:tcPr>
          <w:p w14:paraId="37652F1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977" w:type="dxa"/>
            <w:vAlign w:val="center"/>
          </w:tcPr>
          <w:p w14:paraId="3FCD151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線對稱與三視圖</w:t>
            </w:r>
          </w:p>
        </w:tc>
        <w:tc>
          <w:tcPr>
            <w:tcW w:w="5670" w:type="dxa"/>
            <w:vMerge/>
            <w:vAlign w:val="center"/>
          </w:tcPr>
          <w:p w14:paraId="39B018D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19E96B4D" w14:textId="77777777" w:rsidTr="00017E29">
        <w:trPr>
          <w:trHeight w:val="872"/>
        </w:trPr>
        <w:tc>
          <w:tcPr>
            <w:tcW w:w="704" w:type="dxa"/>
            <w:vAlign w:val="center"/>
          </w:tcPr>
          <w:p w14:paraId="5588D3E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977" w:type="dxa"/>
            <w:vAlign w:val="center"/>
          </w:tcPr>
          <w:p w14:paraId="7D35C87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統計圖表與數據分析</w:t>
            </w:r>
          </w:p>
        </w:tc>
        <w:tc>
          <w:tcPr>
            <w:tcW w:w="5670" w:type="dxa"/>
            <w:vMerge/>
            <w:vAlign w:val="center"/>
          </w:tcPr>
          <w:p w14:paraId="13575F2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2C1CEB26" w14:textId="77777777" w:rsidTr="00017E29">
        <w:trPr>
          <w:trHeight w:val="936"/>
        </w:trPr>
        <w:tc>
          <w:tcPr>
            <w:tcW w:w="704" w:type="dxa"/>
            <w:vAlign w:val="center"/>
          </w:tcPr>
          <w:p w14:paraId="2AC63B8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977" w:type="dxa"/>
            <w:vAlign w:val="center"/>
          </w:tcPr>
          <w:p w14:paraId="11E723C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乘法公式與多項式</w:t>
            </w:r>
          </w:p>
        </w:tc>
        <w:tc>
          <w:tcPr>
            <w:tcW w:w="5670" w:type="dxa"/>
            <w:vMerge w:val="restart"/>
            <w:vAlign w:val="center"/>
          </w:tcPr>
          <w:p w14:paraId="6B5472C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二次方根</w:t>
            </w:r>
          </w:p>
          <w:p w14:paraId="21C4A5F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二次方根的近似值</w:t>
            </w:r>
          </w:p>
          <w:p w14:paraId="1020EFC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認識數列</w:t>
            </w:r>
          </w:p>
          <w:p w14:paraId="5A9C158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等差數列</w:t>
            </w:r>
          </w:p>
          <w:p w14:paraId="30F2297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等差級數求和</w:t>
            </w:r>
          </w:p>
          <w:p w14:paraId="552DA32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等比數列</w:t>
            </w:r>
          </w:p>
          <w:p w14:paraId="52D80E3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角</w:t>
            </w:r>
          </w:p>
          <w:p w14:paraId="45A63D0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凸多邊形的內角和</w:t>
            </w:r>
          </w:p>
          <w:p w14:paraId="158028B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</w:t>
            </w:r>
          </w:p>
          <w:p w14:paraId="70A6888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全等圖形</w:t>
            </w:r>
          </w:p>
          <w:p w14:paraId="3FD1C9D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三角形的全等性質</w:t>
            </w:r>
          </w:p>
          <w:p w14:paraId="6E39FD1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畢氏定理</w:t>
            </w:r>
          </w:p>
          <w:p w14:paraId="41B0864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平面圖形的面積</w:t>
            </w:r>
          </w:p>
        </w:tc>
      </w:tr>
      <w:tr w:rsidR="00094222" w14:paraId="1C0B4EFC" w14:textId="77777777" w:rsidTr="00017E29">
        <w:trPr>
          <w:trHeight w:val="936"/>
        </w:trPr>
        <w:tc>
          <w:tcPr>
            <w:tcW w:w="704" w:type="dxa"/>
            <w:vAlign w:val="center"/>
          </w:tcPr>
          <w:p w14:paraId="6C75ECF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2977" w:type="dxa"/>
            <w:vAlign w:val="center"/>
          </w:tcPr>
          <w:p w14:paraId="0310A99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平方根與畢氏定理</w:t>
            </w:r>
          </w:p>
        </w:tc>
        <w:tc>
          <w:tcPr>
            <w:tcW w:w="5670" w:type="dxa"/>
            <w:vMerge/>
            <w:vAlign w:val="center"/>
          </w:tcPr>
          <w:p w14:paraId="31476C1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36589996" w14:textId="77777777" w:rsidTr="00017E29">
        <w:trPr>
          <w:trHeight w:val="936"/>
        </w:trPr>
        <w:tc>
          <w:tcPr>
            <w:tcW w:w="704" w:type="dxa"/>
            <w:vAlign w:val="center"/>
          </w:tcPr>
          <w:p w14:paraId="78E1D7B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2977" w:type="dxa"/>
            <w:vAlign w:val="center"/>
          </w:tcPr>
          <w:p w14:paraId="0B1E3E5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</w:t>
            </w:r>
          </w:p>
        </w:tc>
        <w:tc>
          <w:tcPr>
            <w:tcW w:w="5670" w:type="dxa"/>
            <w:vMerge/>
            <w:vAlign w:val="center"/>
          </w:tcPr>
          <w:p w14:paraId="224B1B0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21E2C186" w14:textId="77777777" w:rsidTr="00017E29">
        <w:trPr>
          <w:trHeight w:val="936"/>
        </w:trPr>
        <w:tc>
          <w:tcPr>
            <w:tcW w:w="704" w:type="dxa"/>
            <w:vAlign w:val="center"/>
          </w:tcPr>
          <w:p w14:paraId="0008D24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13</w:t>
            </w:r>
          </w:p>
        </w:tc>
        <w:tc>
          <w:tcPr>
            <w:tcW w:w="2977" w:type="dxa"/>
            <w:vAlign w:val="center"/>
          </w:tcPr>
          <w:p w14:paraId="6D76DB6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</w:t>
            </w:r>
          </w:p>
        </w:tc>
        <w:tc>
          <w:tcPr>
            <w:tcW w:w="5670" w:type="dxa"/>
            <w:vMerge/>
            <w:vAlign w:val="center"/>
          </w:tcPr>
          <w:p w14:paraId="03CB1B4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504A7497" w14:textId="77777777" w:rsidTr="00017E29">
        <w:trPr>
          <w:trHeight w:val="936"/>
        </w:trPr>
        <w:tc>
          <w:tcPr>
            <w:tcW w:w="704" w:type="dxa"/>
            <w:vAlign w:val="center"/>
          </w:tcPr>
          <w:p w14:paraId="1326EAC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2977" w:type="dxa"/>
            <w:vAlign w:val="center"/>
          </w:tcPr>
          <w:p w14:paraId="5709978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數列與級數</w:t>
            </w:r>
          </w:p>
        </w:tc>
        <w:tc>
          <w:tcPr>
            <w:tcW w:w="5670" w:type="dxa"/>
            <w:vMerge/>
            <w:vAlign w:val="center"/>
          </w:tcPr>
          <w:p w14:paraId="2606071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7798A3FA" w14:textId="77777777" w:rsidTr="00017E29">
        <w:trPr>
          <w:trHeight w:val="1152"/>
        </w:trPr>
        <w:tc>
          <w:tcPr>
            <w:tcW w:w="704" w:type="dxa"/>
            <w:vAlign w:val="center"/>
          </w:tcPr>
          <w:p w14:paraId="5367950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2977" w:type="dxa"/>
            <w:vAlign w:val="center"/>
          </w:tcPr>
          <w:p w14:paraId="47CD150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平面幾何圖形</w:t>
            </w:r>
          </w:p>
        </w:tc>
        <w:tc>
          <w:tcPr>
            <w:tcW w:w="5670" w:type="dxa"/>
            <w:vMerge w:val="restart"/>
            <w:vAlign w:val="center"/>
          </w:tcPr>
          <w:p w14:paraId="21AC34B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三角形的基本性質</w:t>
            </w:r>
          </w:p>
          <w:p w14:paraId="666FFAE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平行四邊形的基本性質正方形、長方形、箏形的基本性質</w:t>
            </w:r>
          </w:p>
          <w:p w14:paraId="70F9F56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梯形的基本性質</w:t>
            </w:r>
          </w:p>
          <w:p w14:paraId="4048E0D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尺規作圖與幾何推理</w:t>
            </w:r>
          </w:p>
          <w:p w14:paraId="46E753C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直角坐標系上兩點距離公式</w:t>
            </w:r>
          </w:p>
          <w:p w14:paraId="3385DCC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二次式的乘法公式</w:t>
            </w:r>
          </w:p>
          <w:p w14:paraId="3174605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多項式的意義</w:t>
            </w:r>
          </w:p>
          <w:p w14:paraId="58A0C87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多項式的四則運算</w:t>
            </w:r>
          </w:p>
          <w:p w14:paraId="2B37556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</w:t>
            </w:r>
          </w:p>
          <w:p w14:paraId="04D4E20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因式分解的方法</w:t>
            </w:r>
          </w:p>
          <w:p w14:paraId="75F11A6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一元二次方程式的意義</w:t>
            </w:r>
          </w:p>
          <w:p w14:paraId="3D8F1A7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一元二次方程式的解法與應用</w:t>
            </w:r>
          </w:p>
          <w:p w14:paraId="35F8206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一次函數</w:t>
            </w:r>
          </w:p>
          <w:p w14:paraId="0B00C87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一次函數的圖形</w:t>
            </w:r>
          </w:p>
          <w:p w14:paraId="3817796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統計資料處理</w:t>
            </w:r>
          </w:p>
        </w:tc>
      </w:tr>
      <w:tr w:rsidR="00094222" w14:paraId="245EE5B6" w14:textId="77777777" w:rsidTr="00017E29">
        <w:trPr>
          <w:trHeight w:val="1152"/>
        </w:trPr>
        <w:tc>
          <w:tcPr>
            <w:tcW w:w="704" w:type="dxa"/>
            <w:vAlign w:val="center"/>
          </w:tcPr>
          <w:p w14:paraId="35D7A5E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2977" w:type="dxa"/>
            <w:vAlign w:val="center"/>
          </w:tcPr>
          <w:p w14:paraId="2D057BE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三角形的基本性質</w:t>
            </w:r>
          </w:p>
        </w:tc>
        <w:tc>
          <w:tcPr>
            <w:tcW w:w="5670" w:type="dxa"/>
            <w:vMerge/>
            <w:vAlign w:val="center"/>
          </w:tcPr>
          <w:p w14:paraId="466ED144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1CCD1A5C" w14:textId="77777777" w:rsidTr="00017E29">
        <w:trPr>
          <w:trHeight w:val="1152"/>
        </w:trPr>
        <w:tc>
          <w:tcPr>
            <w:tcW w:w="704" w:type="dxa"/>
            <w:vAlign w:val="center"/>
          </w:tcPr>
          <w:p w14:paraId="679F3FF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</w:t>
            </w:r>
          </w:p>
        </w:tc>
        <w:tc>
          <w:tcPr>
            <w:tcW w:w="2977" w:type="dxa"/>
            <w:vAlign w:val="center"/>
          </w:tcPr>
          <w:p w14:paraId="6365160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平行與四邊形</w:t>
            </w:r>
          </w:p>
        </w:tc>
        <w:tc>
          <w:tcPr>
            <w:tcW w:w="5670" w:type="dxa"/>
            <w:vMerge/>
            <w:vAlign w:val="center"/>
          </w:tcPr>
          <w:p w14:paraId="380B190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2C9716F6" w14:textId="77777777" w:rsidTr="00017E29">
        <w:trPr>
          <w:trHeight w:val="1152"/>
        </w:trPr>
        <w:tc>
          <w:tcPr>
            <w:tcW w:w="704" w:type="dxa"/>
            <w:vAlign w:val="center"/>
          </w:tcPr>
          <w:p w14:paraId="037900F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2977" w:type="dxa"/>
            <w:vAlign w:val="center"/>
          </w:tcPr>
          <w:p w14:paraId="5426800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線型函數</w:t>
            </w:r>
          </w:p>
        </w:tc>
        <w:tc>
          <w:tcPr>
            <w:tcW w:w="5670" w:type="dxa"/>
            <w:vMerge/>
            <w:vAlign w:val="center"/>
          </w:tcPr>
          <w:p w14:paraId="640B9D1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67568ABD" w14:textId="77777777" w:rsidTr="00017E29">
        <w:trPr>
          <w:trHeight w:val="1152"/>
        </w:trPr>
        <w:tc>
          <w:tcPr>
            <w:tcW w:w="704" w:type="dxa"/>
            <w:vAlign w:val="center"/>
          </w:tcPr>
          <w:p w14:paraId="3B58A26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</w:t>
            </w:r>
          </w:p>
        </w:tc>
        <w:tc>
          <w:tcPr>
            <w:tcW w:w="2977" w:type="dxa"/>
            <w:vAlign w:val="center"/>
          </w:tcPr>
          <w:p w14:paraId="525B046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統計資料處理</w:t>
            </w:r>
          </w:p>
        </w:tc>
        <w:tc>
          <w:tcPr>
            <w:tcW w:w="5670" w:type="dxa"/>
            <w:vMerge/>
            <w:vAlign w:val="center"/>
          </w:tcPr>
          <w:p w14:paraId="08C421E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3C894F93" w14:textId="77777777" w:rsidTr="00017E29">
        <w:trPr>
          <w:trHeight w:val="968"/>
        </w:trPr>
        <w:tc>
          <w:tcPr>
            <w:tcW w:w="704" w:type="dxa"/>
            <w:vAlign w:val="center"/>
          </w:tcPr>
          <w:p w14:paraId="7E15685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2977" w:type="dxa"/>
            <w:vAlign w:val="center"/>
          </w:tcPr>
          <w:p w14:paraId="1651098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相似形</w:t>
            </w:r>
          </w:p>
        </w:tc>
        <w:tc>
          <w:tcPr>
            <w:tcW w:w="5670" w:type="dxa"/>
            <w:vMerge w:val="restart"/>
            <w:vAlign w:val="center"/>
          </w:tcPr>
          <w:p w14:paraId="3DE863B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連比</w:t>
            </w:r>
          </w:p>
          <w:p w14:paraId="1746B9E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相似形</w:t>
            </w:r>
          </w:p>
          <w:p w14:paraId="0F578D6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三角形的相似性質</w:t>
            </w:r>
          </w:p>
          <w:p w14:paraId="2CD81C6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平行線截比例線段</w:t>
            </w:r>
          </w:p>
          <w:p w14:paraId="79C77F6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相似直角三角形邊長比值的不變性</w:t>
            </w:r>
          </w:p>
          <w:p w14:paraId="756F6B4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圓弧長與扇形面積</w:t>
            </w:r>
          </w:p>
          <w:p w14:paraId="4E73937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圓的幾何性質</w:t>
            </w:r>
          </w:p>
          <w:p w14:paraId="42EDA5E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點、直線與圓的關係</w:t>
            </w:r>
          </w:p>
          <w:p w14:paraId="320389E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三角形的外心</w:t>
            </w:r>
          </w:p>
          <w:p w14:paraId="4CCE591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三角形的內心</w:t>
            </w:r>
          </w:p>
          <w:p w14:paraId="233C3F4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三角形的重心</w:t>
            </w:r>
          </w:p>
          <w:p w14:paraId="5953D5D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證明的意義</w:t>
            </w:r>
          </w:p>
          <w:p w14:paraId="0040680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空間中的線與平面</w:t>
            </w:r>
          </w:p>
          <w:p w14:paraId="41E3F89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表面積與體積</w:t>
            </w:r>
          </w:p>
          <w:p w14:paraId="61C3773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二次函數的意義</w:t>
            </w:r>
          </w:p>
          <w:p w14:paraId="22C25FF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二次函數的圖形與極值</w:t>
            </w:r>
          </w:p>
          <w:p w14:paraId="15E8436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統計數據的分布</w:t>
            </w:r>
          </w:p>
          <w:p w14:paraId="0A6F650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認識機率</w:t>
            </w:r>
          </w:p>
          <w:p w14:paraId="6E83420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古典機率</w:t>
            </w:r>
          </w:p>
        </w:tc>
      </w:tr>
      <w:tr w:rsidR="00094222" w14:paraId="7B4D7450" w14:textId="77777777" w:rsidTr="00017E29">
        <w:trPr>
          <w:trHeight w:val="969"/>
        </w:trPr>
        <w:tc>
          <w:tcPr>
            <w:tcW w:w="704" w:type="dxa"/>
            <w:vAlign w:val="center"/>
          </w:tcPr>
          <w:p w14:paraId="7ABEA16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</w:p>
        </w:tc>
        <w:tc>
          <w:tcPr>
            <w:tcW w:w="2977" w:type="dxa"/>
            <w:vAlign w:val="center"/>
          </w:tcPr>
          <w:p w14:paraId="7E43C96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圓的性質</w:t>
            </w:r>
          </w:p>
        </w:tc>
        <w:tc>
          <w:tcPr>
            <w:tcW w:w="5670" w:type="dxa"/>
            <w:vMerge/>
            <w:vAlign w:val="center"/>
          </w:tcPr>
          <w:p w14:paraId="0993847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57128BEC" w14:textId="77777777" w:rsidTr="00017E29">
        <w:trPr>
          <w:trHeight w:val="968"/>
        </w:trPr>
        <w:tc>
          <w:tcPr>
            <w:tcW w:w="704" w:type="dxa"/>
            <w:vAlign w:val="center"/>
          </w:tcPr>
          <w:p w14:paraId="65740BE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22</w:t>
            </w:r>
          </w:p>
        </w:tc>
        <w:tc>
          <w:tcPr>
            <w:tcW w:w="2977" w:type="dxa"/>
            <w:vAlign w:val="center"/>
          </w:tcPr>
          <w:p w14:paraId="2FF9C46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推論證明與三角形的三心</w:t>
            </w:r>
          </w:p>
        </w:tc>
        <w:tc>
          <w:tcPr>
            <w:tcW w:w="5670" w:type="dxa"/>
            <w:vMerge/>
            <w:vAlign w:val="center"/>
          </w:tcPr>
          <w:p w14:paraId="1BEFBC2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6E73C114" w14:textId="77777777" w:rsidTr="00017E29">
        <w:trPr>
          <w:trHeight w:val="969"/>
        </w:trPr>
        <w:tc>
          <w:tcPr>
            <w:tcW w:w="704" w:type="dxa"/>
            <w:vAlign w:val="center"/>
          </w:tcPr>
          <w:p w14:paraId="7D8EAF7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2977" w:type="dxa"/>
            <w:vAlign w:val="center"/>
          </w:tcPr>
          <w:p w14:paraId="65EDE35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二次函數</w:t>
            </w:r>
          </w:p>
        </w:tc>
        <w:tc>
          <w:tcPr>
            <w:tcW w:w="5670" w:type="dxa"/>
            <w:vMerge/>
            <w:vAlign w:val="center"/>
          </w:tcPr>
          <w:p w14:paraId="723821C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67F0A61F" w14:textId="77777777" w:rsidTr="00017E29">
        <w:trPr>
          <w:trHeight w:val="968"/>
        </w:trPr>
        <w:tc>
          <w:tcPr>
            <w:tcW w:w="704" w:type="dxa"/>
            <w:vAlign w:val="center"/>
          </w:tcPr>
          <w:p w14:paraId="69C2FFB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2977" w:type="dxa"/>
            <w:vAlign w:val="center"/>
          </w:tcPr>
          <w:p w14:paraId="78D82B0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立體圖形</w:t>
            </w:r>
          </w:p>
        </w:tc>
        <w:tc>
          <w:tcPr>
            <w:tcW w:w="5670" w:type="dxa"/>
            <w:vMerge/>
            <w:vAlign w:val="center"/>
          </w:tcPr>
          <w:p w14:paraId="17F688F4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218D97AC" w14:textId="77777777" w:rsidTr="00017E29">
        <w:trPr>
          <w:trHeight w:val="969"/>
        </w:trPr>
        <w:tc>
          <w:tcPr>
            <w:tcW w:w="704" w:type="dxa"/>
            <w:vAlign w:val="center"/>
          </w:tcPr>
          <w:p w14:paraId="1621D6E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2977" w:type="dxa"/>
            <w:vAlign w:val="center"/>
          </w:tcPr>
          <w:p w14:paraId="2B3EBF2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統計與機率</w:t>
            </w:r>
          </w:p>
        </w:tc>
        <w:tc>
          <w:tcPr>
            <w:tcW w:w="5670" w:type="dxa"/>
            <w:vMerge/>
            <w:vAlign w:val="center"/>
          </w:tcPr>
          <w:p w14:paraId="2138F7F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94222" w14:paraId="39068377" w14:textId="77777777" w:rsidTr="00017E29">
        <w:trPr>
          <w:trHeight w:val="969"/>
        </w:trPr>
        <w:tc>
          <w:tcPr>
            <w:tcW w:w="704" w:type="dxa"/>
            <w:vAlign w:val="center"/>
          </w:tcPr>
          <w:p w14:paraId="50006C4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26</w:t>
            </w:r>
          </w:p>
        </w:tc>
        <w:tc>
          <w:tcPr>
            <w:tcW w:w="2977" w:type="dxa"/>
            <w:vAlign w:val="center"/>
          </w:tcPr>
          <w:p w14:paraId="3B462AD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連比例</w:t>
            </w:r>
          </w:p>
        </w:tc>
        <w:tc>
          <w:tcPr>
            <w:tcW w:w="5670" w:type="dxa"/>
            <w:vMerge/>
            <w:vAlign w:val="center"/>
          </w:tcPr>
          <w:p w14:paraId="0DE5840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</w:tbl>
    <w:p w14:paraId="49EE494B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【社會領域】</w:t>
      </w:r>
    </w:p>
    <w:tbl>
      <w:tblPr>
        <w:tblStyle w:val="afc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14:paraId="25D42885" w14:textId="77777777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14:paraId="557E8CA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72E6A44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14:paraId="153A22A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7250EE5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728A6052" w14:textId="77777777" w:rsidTr="00017E29">
        <w:tc>
          <w:tcPr>
            <w:tcW w:w="703" w:type="dxa"/>
            <w:vAlign w:val="center"/>
          </w:tcPr>
          <w:p w14:paraId="572330A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14:paraId="7C0F968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</w:t>
            </w:r>
          </w:p>
        </w:tc>
        <w:tc>
          <w:tcPr>
            <w:tcW w:w="2156" w:type="dxa"/>
            <w:vAlign w:val="center"/>
          </w:tcPr>
          <w:p w14:paraId="7D0E4A3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基礎觀念</w:t>
            </w:r>
          </w:p>
        </w:tc>
        <w:tc>
          <w:tcPr>
            <w:tcW w:w="6520" w:type="dxa"/>
            <w:vAlign w:val="center"/>
          </w:tcPr>
          <w:p w14:paraId="2841774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紀年與分期、考古發掘與史前文化</w:t>
            </w:r>
          </w:p>
        </w:tc>
      </w:tr>
      <w:tr w:rsidR="00094222" w14:paraId="188BC399" w14:textId="77777777" w:rsidTr="00017E29">
        <w:tc>
          <w:tcPr>
            <w:tcW w:w="703" w:type="dxa"/>
            <w:vAlign w:val="center"/>
          </w:tcPr>
          <w:p w14:paraId="419E0F1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14:paraId="67B5D55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5C78C8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歷史考察</w:t>
            </w:r>
          </w:p>
        </w:tc>
        <w:tc>
          <w:tcPr>
            <w:tcW w:w="6520" w:type="dxa"/>
            <w:vAlign w:val="center"/>
          </w:tcPr>
          <w:p w14:paraId="136804C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3275E707" w14:textId="77777777" w:rsidTr="00017E29">
        <w:tc>
          <w:tcPr>
            <w:tcW w:w="703" w:type="dxa"/>
            <w:vAlign w:val="center"/>
          </w:tcPr>
          <w:p w14:paraId="44DB89B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14:paraId="35400A9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4E381D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</w:t>
            </w:r>
          </w:p>
        </w:tc>
        <w:tc>
          <w:tcPr>
            <w:tcW w:w="6520" w:type="dxa"/>
            <w:vAlign w:val="center"/>
          </w:tcPr>
          <w:p w14:paraId="56F93BB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早期、清帝國時期、日本帝國時期、當代</w:t>
            </w:r>
          </w:p>
        </w:tc>
      </w:tr>
      <w:tr w:rsidR="00094222" w14:paraId="245CDD18" w14:textId="77777777" w:rsidTr="00017E29">
        <w:tc>
          <w:tcPr>
            <w:tcW w:w="703" w:type="dxa"/>
            <w:vAlign w:val="center"/>
          </w:tcPr>
          <w:p w14:paraId="702CCCC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14:paraId="01BA162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5AF1119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從古典到傳統時代</w:t>
            </w:r>
          </w:p>
        </w:tc>
        <w:tc>
          <w:tcPr>
            <w:tcW w:w="6520" w:type="dxa"/>
            <w:vAlign w:val="center"/>
          </w:tcPr>
          <w:p w14:paraId="6D3BA60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0A9CA078" w14:textId="77777777" w:rsidTr="00017E29">
        <w:tc>
          <w:tcPr>
            <w:tcW w:w="703" w:type="dxa"/>
            <w:vAlign w:val="center"/>
          </w:tcPr>
          <w:p w14:paraId="199A9C1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14:paraId="5B62E4F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BF5A91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從傳統到現代</w:t>
            </w:r>
          </w:p>
        </w:tc>
        <w:tc>
          <w:tcPr>
            <w:tcW w:w="6520" w:type="dxa"/>
            <w:vAlign w:val="center"/>
          </w:tcPr>
          <w:p w14:paraId="1A64083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4AD259D4" w14:textId="77777777" w:rsidTr="00017E29">
        <w:tc>
          <w:tcPr>
            <w:tcW w:w="703" w:type="dxa"/>
            <w:vAlign w:val="center"/>
          </w:tcPr>
          <w:p w14:paraId="35C4D7B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14:paraId="5B93485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C4AFD6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現代國家的興起</w:t>
            </w:r>
          </w:p>
        </w:tc>
        <w:tc>
          <w:tcPr>
            <w:tcW w:w="6520" w:type="dxa"/>
            <w:vAlign w:val="center"/>
          </w:tcPr>
          <w:p w14:paraId="23E95E4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1E9F1776" w14:textId="77777777" w:rsidTr="00017E29">
        <w:tc>
          <w:tcPr>
            <w:tcW w:w="703" w:type="dxa"/>
            <w:vAlign w:val="center"/>
          </w:tcPr>
          <w:p w14:paraId="02CCEEE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14:paraId="0AF632C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206660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當代東亞的局勢</w:t>
            </w:r>
          </w:p>
        </w:tc>
        <w:tc>
          <w:tcPr>
            <w:tcW w:w="6520" w:type="dxa"/>
            <w:vAlign w:val="center"/>
          </w:tcPr>
          <w:p w14:paraId="6A85807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16D6C2AF" w14:textId="77777777" w:rsidTr="00017E29">
        <w:tc>
          <w:tcPr>
            <w:tcW w:w="703" w:type="dxa"/>
            <w:vAlign w:val="center"/>
          </w:tcPr>
          <w:p w14:paraId="5853D62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14:paraId="234B1FD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41118C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古代文化的遺產</w:t>
            </w:r>
          </w:p>
        </w:tc>
        <w:tc>
          <w:tcPr>
            <w:tcW w:w="6520" w:type="dxa"/>
            <w:vAlign w:val="center"/>
          </w:tcPr>
          <w:p w14:paraId="6EF0616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2EABF89E" w14:textId="77777777" w:rsidTr="00017E29">
        <w:tc>
          <w:tcPr>
            <w:tcW w:w="703" w:type="dxa"/>
            <w:vAlign w:val="center"/>
          </w:tcPr>
          <w:p w14:paraId="47F761A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/>
            <w:vAlign w:val="center"/>
          </w:tcPr>
          <w:p w14:paraId="786A38B4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E0E46F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近代世界的變革</w:t>
            </w:r>
          </w:p>
        </w:tc>
        <w:tc>
          <w:tcPr>
            <w:tcW w:w="6520" w:type="dxa"/>
            <w:vAlign w:val="center"/>
          </w:tcPr>
          <w:p w14:paraId="24C4D85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38ADB2F4" w14:textId="77777777" w:rsidTr="00017E29">
        <w:tc>
          <w:tcPr>
            <w:tcW w:w="703" w:type="dxa"/>
            <w:vAlign w:val="center"/>
          </w:tcPr>
          <w:p w14:paraId="166D80A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14:paraId="01EDED9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FC0D96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現代世界的發展</w:t>
            </w:r>
          </w:p>
        </w:tc>
        <w:tc>
          <w:tcPr>
            <w:tcW w:w="6520" w:type="dxa"/>
            <w:vAlign w:val="center"/>
          </w:tcPr>
          <w:p w14:paraId="44602D1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3EE4A7C5" w14:textId="77777777" w:rsidTr="00017E29">
        <w:tc>
          <w:tcPr>
            <w:tcW w:w="703" w:type="dxa"/>
            <w:vAlign w:val="center"/>
          </w:tcPr>
          <w:p w14:paraId="7AB702F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 w:val="restart"/>
            <w:vAlign w:val="center"/>
          </w:tcPr>
          <w:p w14:paraId="59F8E29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地理</w:t>
            </w:r>
          </w:p>
        </w:tc>
        <w:tc>
          <w:tcPr>
            <w:tcW w:w="2156" w:type="dxa"/>
            <w:vAlign w:val="center"/>
          </w:tcPr>
          <w:p w14:paraId="3C1AA60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基本概念</w:t>
            </w:r>
          </w:p>
        </w:tc>
        <w:tc>
          <w:tcPr>
            <w:tcW w:w="6520" w:type="dxa"/>
            <w:vAlign w:val="center"/>
          </w:tcPr>
          <w:p w14:paraId="65606A8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274C757D" w14:textId="77777777" w:rsidTr="00017E29">
        <w:tc>
          <w:tcPr>
            <w:tcW w:w="703" w:type="dxa"/>
            <w:vAlign w:val="center"/>
          </w:tcPr>
          <w:p w14:paraId="650516C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14:paraId="0F47541E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E72C07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地理議題</w:t>
            </w:r>
          </w:p>
        </w:tc>
        <w:tc>
          <w:tcPr>
            <w:tcW w:w="6520" w:type="dxa"/>
            <w:vAlign w:val="center"/>
          </w:tcPr>
          <w:p w14:paraId="534F611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04E4F3E7" w14:textId="77777777" w:rsidTr="00017E29">
        <w:tc>
          <w:tcPr>
            <w:tcW w:w="703" w:type="dxa"/>
            <w:vAlign w:val="center"/>
          </w:tcPr>
          <w:p w14:paraId="3B4416D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822" w:type="dxa"/>
            <w:vMerge/>
            <w:vAlign w:val="center"/>
          </w:tcPr>
          <w:p w14:paraId="3E2D65E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EAA943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田野觀察</w:t>
            </w:r>
          </w:p>
        </w:tc>
        <w:tc>
          <w:tcPr>
            <w:tcW w:w="6520" w:type="dxa"/>
            <w:vAlign w:val="center"/>
          </w:tcPr>
          <w:p w14:paraId="21062C7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0F3195CF" w14:textId="77777777" w:rsidTr="00017E29">
        <w:tc>
          <w:tcPr>
            <w:tcW w:w="703" w:type="dxa"/>
            <w:vAlign w:val="center"/>
          </w:tcPr>
          <w:p w14:paraId="5E6DA58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822" w:type="dxa"/>
            <w:vMerge/>
            <w:vAlign w:val="center"/>
          </w:tcPr>
          <w:p w14:paraId="2F7335B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1E1280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臺灣</w:t>
            </w:r>
          </w:p>
        </w:tc>
        <w:tc>
          <w:tcPr>
            <w:tcW w:w="6520" w:type="dxa"/>
            <w:vAlign w:val="center"/>
          </w:tcPr>
          <w:p w14:paraId="65C9F10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世界中的臺灣、地形與海域、氣候與水文、人口與文化、產業發展、區域發展、地名文化、農業與食品安全</w:t>
            </w:r>
          </w:p>
        </w:tc>
      </w:tr>
      <w:tr w:rsidR="00094222" w14:paraId="6B2229FC" w14:textId="77777777" w:rsidTr="00017E29">
        <w:tc>
          <w:tcPr>
            <w:tcW w:w="703" w:type="dxa"/>
            <w:vAlign w:val="center"/>
          </w:tcPr>
          <w:p w14:paraId="7C4CD30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822" w:type="dxa"/>
            <w:vMerge/>
            <w:vAlign w:val="center"/>
          </w:tcPr>
          <w:p w14:paraId="2A47BF0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D785E8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中國</w:t>
            </w:r>
          </w:p>
        </w:tc>
        <w:tc>
          <w:tcPr>
            <w:tcW w:w="6520" w:type="dxa"/>
            <w:vAlign w:val="center"/>
          </w:tcPr>
          <w:p w14:paraId="2DCEA1C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7C564CFA" w14:textId="77777777" w:rsidTr="00017E29">
        <w:tc>
          <w:tcPr>
            <w:tcW w:w="703" w:type="dxa"/>
            <w:vAlign w:val="center"/>
          </w:tcPr>
          <w:p w14:paraId="18B193B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822" w:type="dxa"/>
            <w:vMerge/>
            <w:vAlign w:val="center"/>
          </w:tcPr>
          <w:p w14:paraId="6F7BE3E9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EE3501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大洋洲與兩極地區</w:t>
            </w:r>
          </w:p>
        </w:tc>
        <w:tc>
          <w:tcPr>
            <w:tcW w:w="6520" w:type="dxa"/>
            <w:vAlign w:val="center"/>
          </w:tcPr>
          <w:p w14:paraId="7184524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6642FF37" w14:textId="77777777" w:rsidTr="00017E29">
        <w:tc>
          <w:tcPr>
            <w:tcW w:w="703" w:type="dxa"/>
            <w:vAlign w:val="center"/>
          </w:tcPr>
          <w:p w14:paraId="15D4208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</w:t>
            </w:r>
          </w:p>
        </w:tc>
        <w:tc>
          <w:tcPr>
            <w:tcW w:w="822" w:type="dxa"/>
            <w:vMerge/>
            <w:vAlign w:val="center"/>
          </w:tcPr>
          <w:p w14:paraId="05F007A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4623EC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季風亞洲</w:t>
            </w:r>
          </w:p>
        </w:tc>
        <w:tc>
          <w:tcPr>
            <w:tcW w:w="6520" w:type="dxa"/>
            <w:vAlign w:val="center"/>
          </w:tcPr>
          <w:p w14:paraId="280F191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東北亞、東南亞和南亞</w:t>
            </w:r>
          </w:p>
        </w:tc>
      </w:tr>
      <w:tr w:rsidR="00094222" w14:paraId="7CA1D9F9" w14:textId="77777777" w:rsidTr="00017E29">
        <w:tc>
          <w:tcPr>
            <w:tcW w:w="703" w:type="dxa"/>
            <w:vAlign w:val="center"/>
          </w:tcPr>
          <w:p w14:paraId="3345DC1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822" w:type="dxa"/>
            <w:vMerge/>
            <w:vAlign w:val="center"/>
          </w:tcPr>
          <w:p w14:paraId="1A19228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514EED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西亞與北非</w:t>
            </w:r>
          </w:p>
        </w:tc>
        <w:tc>
          <w:tcPr>
            <w:tcW w:w="6520" w:type="dxa"/>
            <w:vAlign w:val="center"/>
          </w:tcPr>
          <w:p w14:paraId="5BEF0BB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3C6C80B4" w14:textId="77777777" w:rsidTr="00017E29">
        <w:tc>
          <w:tcPr>
            <w:tcW w:w="703" w:type="dxa"/>
            <w:vAlign w:val="center"/>
          </w:tcPr>
          <w:p w14:paraId="68342BE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</w:t>
            </w:r>
          </w:p>
        </w:tc>
        <w:tc>
          <w:tcPr>
            <w:tcW w:w="822" w:type="dxa"/>
            <w:vMerge/>
            <w:vAlign w:val="center"/>
          </w:tcPr>
          <w:p w14:paraId="34842B7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D84F83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漠南非洲</w:t>
            </w:r>
          </w:p>
        </w:tc>
        <w:tc>
          <w:tcPr>
            <w:tcW w:w="6520" w:type="dxa"/>
            <w:vAlign w:val="center"/>
          </w:tcPr>
          <w:p w14:paraId="0133D48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4D92D604" w14:textId="77777777" w:rsidTr="00017E29">
        <w:tc>
          <w:tcPr>
            <w:tcW w:w="703" w:type="dxa"/>
            <w:vAlign w:val="center"/>
          </w:tcPr>
          <w:p w14:paraId="29924E7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822" w:type="dxa"/>
            <w:vMerge/>
            <w:vAlign w:val="center"/>
          </w:tcPr>
          <w:p w14:paraId="6CD7E3D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14CC86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歐洲與俄羅斯</w:t>
            </w:r>
          </w:p>
        </w:tc>
        <w:tc>
          <w:tcPr>
            <w:tcW w:w="6520" w:type="dxa"/>
            <w:vAlign w:val="center"/>
          </w:tcPr>
          <w:p w14:paraId="69B1303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0D80B970" w14:textId="77777777" w:rsidTr="00017E29">
        <w:tc>
          <w:tcPr>
            <w:tcW w:w="703" w:type="dxa"/>
            <w:vAlign w:val="center"/>
          </w:tcPr>
          <w:p w14:paraId="152927D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</w:p>
        </w:tc>
        <w:tc>
          <w:tcPr>
            <w:tcW w:w="822" w:type="dxa"/>
            <w:vMerge/>
            <w:vAlign w:val="center"/>
          </w:tcPr>
          <w:p w14:paraId="66EAAC3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53DD818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美洲</w:t>
            </w:r>
          </w:p>
        </w:tc>
        <w:tc>
          <w:tcPr>
            <w:tcW w:w="6520" w:type="dxa"/>
            <w:vAlign w:val="center"/>
          </w:tcPr>
          <w:p w14:paraId="73BF508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226B2D4E" w14:textId="77777777" w:rsidTr="00017E29">
        <w:tc>
          <w:tcPr>
            <w:tcW w:w="703" w:type="dxa"/>
            <w:vAlign w:val="center"/>
          </w:tcPr>
          <w:p w14:paraId="1E56BD4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22</w:t>
            </w:r>
          </w:p>
        </w:tc>
        <w:tc>
          <w:tcPr>
            <w:tcW w:w="822" w:type="dxa"/>
            <w:vMerge w:val="restart"/>
            <w:vAlign w:val="center"/>
          </w:tcPr>
          <w:p w14:paraId="00A914F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公民與社會</w:t>
            </w:r>
          </w:p>
        </w:tc>
        <w:tc>
          <w:tcPr>
            <w:tcW w:w="2156" w:type="dxa"/>
            <w:vAlign w:val="center"/>
          </w:tcPr>
          <w:p w14:paraId="7196AB2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公民議題</w:t>
            </w:r>
          </w:p>
        </w:tc>
        <w:tc>
          <w:tcPr>
            <w:tcW w:w="6520" w:type="dxa"/>
            <w:vAlign w:val="center"/>
          </w:tcPr>
          <w:p w14:paraId="3C30424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0C8D6ACC" w14:textId="77777777" w:rsidTr="00017E29">
        <w:tc>
          <w:tcPr>
            <w:tcW w:w="703" w:type="dxa"/>
            <w:vAlign w:val="center"/>
          </w:tcPr>
          <w:p w14:paraId="04B5D3D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822" w:type="dxa"/>
            <w:vMerge/>
            <w:vAlign w:val="center"/>
          </w:tcPr>
          <w:p w14:paraId="4E8BC18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28C589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公民身分認同及社群</w:t>
            </w:r>
          </w:p>
        </w:tc>
        <w:tc>
          <w:tcPr>
            <w:tcW w:w="6520" w:type="dxa"/>
            <w:vAlign w:val="center"/>
          </w:tcPr>
          <w:p w14:paraId="3D3099E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6C7D3C30" w14:textId="77777777" w:rsidTr="00017E29">
        <w:tc>
          <w:tcPr>
            <w:tcW w:w="703" w:type="dxa"/>
            <w:vAlign w:val="center"/>
          </w:tcPr>
          <w:p w14:paraId="2846BDD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822" w:type="dxa"/>
            <w:vMerge/>
            <w:vAlign w:val="center"/>
          </w:tcPr>
          <w:p w14:paraId="3CEDE7F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DE939D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社會生活的組織及制度</w:t>
            </w:r>
          </w:p>
        </w:tc>
        <w:tc>
          <w:tcPr>
            <w:tcW w:w="6520" w:type="dxa"/>
            <w:vAlign w:val="center"/>
          </w:tcPr>
          <w:p w14:paraId="475D972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5383031D" w14:textId="77777777" w:rsidTr="00017E29">
        <w:tc>
          <w:tcPr>
            <w:tcW w:w="703" w:type="dxa"/>
            <w:vAlign w:val="center"/>
          </w:tcPr>
          <w:p w14:paraId="1B7AE90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822" w:type="dxa"/>
            <w:vMerge/>
            <w:vAlign w:val="center"/>
          </w:tcPr>
          <w:p w14:paraId="554AD1D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26006B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社會的運作、治理及參與實踐</w:t>
            </w:r>
          </w:p>
        </w:tc>
        <w:tc>
          <w:tcPr>
            <w:tcW w:w="6520" w:type="dxa"/>
            <w:vAlign w:val="center"/>
          </w:tcPr>
          <w:p w14:paraId="28EE280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  <w:tr w:rsidR="00094222" w14:paraId="3FB4E704" w14:textId="77777777" w:rsidTr="00017E29">
        <w:tc>
          <w:tcPr>
            <w:tcW w:w="703" w:type="dxa"/>
            <w:vAlign w:val="center"/>
          </w:tcPr>
          <w:p w14:paraId="641B568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822" w:type="dxa"/>
            <w:vMerge/>
            <w:vAlign w:val="center"/>
          </w:tcPr>
          <w:p w14:paraId="07D4A2C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375D60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民主社會的理想及現實</w:t>
            </w:r>
          </w:p>
        </w:tc>
        <w:tc>
          <w:tcPr>
            <w:tcW w:w="6520" w:type="dxa"/>
            <w:vAlign w:val="center"/>
          </w:tcPr>
          <w:p w14:paraId="5A9FCE2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</w:p>
        </w:tc>
      </w:tr>
    </w:tbl>
    <w:p w14:paraId="1A0F626A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【自然領域】</w:t>
      </w:r>
    </w:p>
    <w:tbl>
      <w:tblPr>
        <w:tblStyle w:val="afd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14:paraId="76C7B44A" w14:textId="77777777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14:paraId="5B3F4DC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</w:t>
            </w:r>
            <w:r>
              <w:rPr>
                <w:rFonts w:ascii="標楷體" w:eastAsia="標楷體" w:hAnsi="標楷體" w:cs="標楷體"/>
              </w:rPr>
              <w:lastRenderedPageBreak/>
              <w:t>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2698B4C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14:paraId="4B5AE63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793EBC3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32EF6F82" w14:textId="77777777" w:rsidTr="00017E29">
        <w:tc>
          <w:tcPr>
            <w:tcW w:w="703" w:type="dxa"/>
            <w:vAlign w:val="center"/>
          </w:tcPr>
          <w:p w14:paraId="665C762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14:paraId="042D154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</w:t>
            </w:r>
          </w:p>
        </w:tc>
        <w:tc>
          <w:tcPr>
            <w:tcW w:w="2156" w:type="dxa"/>
            <w:vAlign w:val="center"/>
          </w:tcPr>
          <w:p w14:paraId="5096023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生物體的構造與功能</w:t>
            </w:r>
          </w:p>
        </w:tc>
        <w:tc>
          <w:tcPr>
            <w:tcW w:w="6520" w:type="dxa"/>
            <w:vAlign w:val="center"/>
          </w:tcPr>
          <w:p w14:paraId="25E08F8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細胞的構造與功能、動植物體的構造與功能、生物體內的恆定性與調節</w:t>
            </w:r>
          </w:p>
        </w:tc>
      </w:tr>
      <w:tr w:rsidR="00094222" w14:paraId="6C7FACFC" w14:textId="77777777" w:rsidTr="00017E29">
        <w:tc>
          <w:tcPr>
            <w:tcW w:w="703" w:type="dxa"/>
            <w:vAlign w:val="center"/>
          </w:tcPr>
          <w:p w14:paraId="2695A7E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14:paraId="5657A61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B8C3B7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生物與環境</w:t>
            </w:r>
          </w:p>
        </w:tc>
        <w:tc>
          <w:tcPr>
            <w:tcW w:w="6520" w:type="dxa"/>
            <w:vAlign w:val="center"/>
          </w:tcPr>
          <w:p w14:paraId="4DD12B8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生物間的交互作用、生物與環境的交互作用</w:t>
            </w:r>
          </w:p>
        </w:tc>
      </w:tr>
      <w:tr w:rsidR="00094222" w14:paraId="2D6A7423" w14:textId="77777777" w:rsidTr="00017E29">
        <w:tc>
          <w:tcPr>
            <w:tcW w:w="703" w:type="dxa"/>
            <w:vAlign w:val="center"/>
          </w:tcPr>
          <w:p w14:paraId="791C42A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 w:val="restart"/>
            <w:vAlign w:val="center"/>
          </w:tcPr>
          <w:p w14:paraId="4C36958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理化</w:t>
            </w:r>
          </w:p>
        </w:tc>
        <w:tc>
          <w:tcPr>
            <w:tcW w:w="2156" w:type="dxa"/>
            <w:vAlign w:val="center"/>
          </w:tcPr>
          <w:p w14:paraId="65133C2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物質的組成與特性</w:t>
            </w:r>
          </w:p>
        </w:tc>
        <w:tc>
          <w:tcPr>
            <w:tcW w:w="6520" w:type="dxa"/>
            <w:vAlign w:val="center"/>
          </w:tcPr>
          <w:p w14:paraId="2DF865E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物質組成與元素的週期性、物質的形態、性質及分類</w:t>
            </w:r>
          </w:p>
        </w:tc>
      </w:tr>
      <w:tr w:rsidR="00094222" w14:paraId="5649147C" w14:textId="77777777" w:rsidTr="00017E29">
        <w:tc>
          <w:tcPr>
            <w:tcW w:w="703" w:type="dxa"/>
            <w:vAlign w:val="center"/>
          </w:tcPr>
          <w:p w14:paraId="67F62A0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14:paraId="69B7E53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EE0C35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能量的形式、轉換及流動</w:t>
            </w:r>
          </w:p>
        </w:tc>
        <w:tc>
          <w:tcPr>
            <w:tcW w:w="6520" w:type="dxa"/>
            <w:vAlign w:val="center"/>
          </w:tcPr>
          <w:p w14:paraId="1FB3F84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能量的形式與轉換、溫度與熱量、生物體內的能量與代謝、生態系中能量的流動與轉換</w:t>
            </w:r>
          </w:p>
        </w:tc>
      </w:tr>
      <w:tr w:rsidR="00094222" w14:paraId="2ED5EC96" w14:textId="77777777" w:rsidTr="00017E29">
        <w:tc>
          <w:tcPr>
            <w:tcW w:w="703" w:type="dxa"/>
            <w:vAlign w:val="center"/>
          </w:tcPr>
          <w:p w14:paraId="4CA3BE9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14:paraId="40D2EBF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6B31F0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物質的結構與功能</w:t>
            </w:r>
          </w:p>
        </w:tc>
        <w:tc>
          <w:tcPr>
            <w:tcW w:w="6520" w:type="dxa"/>
            <w:vAlign w:val="center"/>
          </w:tcPr>
          <w:p w14:paraId="50BAF1A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物質的分離與鑑定、物質的結構與功能</w:t>
            </w:r>
          </w:p>
        </w:tc>
      </w:tr>
      <w:tr w:rsidR="00094222" w14:paraId="0B350FAF" w14:textId="77777777" w:rsidTr="00017E29">
        <w:tc>
          <w:tcPr>
            <w:tcW w:w="703" w:type="dxa"/>
            <w:vAlign w:val="center"/>
          </w:tcPr>
          <w:p w14:paraId="5FE20A8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14:paraId="7DBC0881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19F470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物質系統</w:t>
            </w:r>
          </w:p>
        </w:tc>
        <w:tc>
          <w:tcPr>
            <w:tcW w:w="6520" w:type="dxa"/>
            <w:vAlign w:val="center"/>
          </w:tcPr>
          <w:p w14:paraId="4674D5A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自然界的尺度與單位、力與運動、氣體、宇宙與天體</w:t>
            </w:r>
          </w:p>
        </w:tc>
      </w:tr>
      <w:tr w:rsidR="00094222" w14:paraId="507D4593" w14:textId="77777777" w:rsidTr="00017E29">
        <w:tc>
          <w:tcPr>
            <w:tcW w:w="703" w:type="dxa"/>
            <w:vAlign w:val="center"/>
          </w:tcPr>
          <w:p w14:paraId="0DA75FE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14:paraId="6916E4A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E4EBC4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物質的反應、平衡及製造</w:t>
            </w:r>
          </w:p>
        </w:tc>
        <w:tc>
          <w:tcPr>
            <w:tcW w:w="6520" w:type="dxa"/>
            <w:vAlign w:val="center"/>
          </w:tcPr>
          <w:p w14:paraId="1D9AA37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物質反應規律、水溶液中的變化、氧化與還原反應、酸鹼反應、化學反應速率與平衡、有機化合物的性質、製備及反應</w:t>
            </w:r>
          </w:p>
        </w:tc>
      </w:tr>
      <w:tr w:rsidR="00094222" w14:paraId="6FBDC3F6" w14:textId="77777777" w:rsidTr="00017E29">
        <w:tc>
          <w:tcPr>
            <w:tcW w:w="703" w:type="dxa"/>
            <w:vAlign w:val="center"/>
          </w:tcPr>
          <w:p w14:paraId="70E2E73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14:paraId="4BCD793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4AFB7B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自然界的現象與交互作用</w:t>
            </w:r>
          </w:p>
        </w:tc>
        <w:tc>
          <w:tcPr>
            <w:tcW w:w="6520" w:type="dxa"/>
            <w:vAlign w:val="center"/>
          </w:tcPr>
          <w:p w14:paraId="042738E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波動、光及聲音、萬有引力、電磁現象</w:t>
            </w:r>
          </w:p>
        </w:tc>
      </w:tr>
      <w:tr w:rsidR="00094222" w14:paraId="25C6AFFD" w14:textId="77777777" w:rsidTr="00017E29">
        <w:tc>
          <w:tcPr>
            <w:tcW w:w="703" w:type="dxa"/>
            <w:vAlign w:val="center"/>
          </w:tcPr>
          <w:p w14:paraId="5E13A55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 w:val="restart"/>
            <w:vAlign w:val="center"/>
          </w:tcPr>
          <w:p w14:paraId="32BB90F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地球科學</w:t>
            </w:r>
          </w:p>
        </w:tc>
        <w:tc>
          <w:tcPr>
            <w:tcW w:w="2156" w:type="dxa"/>
            <w:vAlign w:val="center"/>
          </w:tcPr>
          <w:p w14:paraId="60B525B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地球環境</w:t>
            </w:r>
          </w:p>
        </w:tc>
        <w:tc>
          <w:tcPr>
            <w:tcW w:w="6520" w:type="dxa"/>
            <w:vAlign w:val="center"/>
          </w:tcPr>
          <w:p w14:paraId="2074394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組成地球的物質、地球與太空、生物圈的組成</w:t>
            </w:r>
          </w:p>
        </w:tc>
      </w:tr>
      <w:tr w:rsidR="00094222" w14:paraId="1371EB55" w14:textId="77777777" w:rsidTr="00017E29">
        <w:tc>
          <w:tcPr>
            <w:tcW w:w="703" w:type="dxa"/>
            <w:vAlign w:val="center"/>
          </w:tcPr>
          <w:p w14:paraId="525A4A2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14:paraId="6CDBEB2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BD8EBF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演化與延續</w:t>
            </w:r>
          </w:p>
        </w:tc>
        <w:tc>
          <w:tcPr>
            <w:tcW w:w="6520" w:type="dxa"/>
            <w:vAlign w:val="center"/>
          </w:tcPr>
          <w:p w14:paraId="5BE24B5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生殖與遺傳、演化、生物多樣性</w:t>
            </w:r>
          </w:p>
        </w:tc>
      </w:tr>
      <w:tr w:rsidR="00094222" w14:paraId="04D62096" w14:textId="77777777" w:rsidTr="00017E29">
        <w:tc>
          <w:tcPr>
            <w:tcW w:w="703" w:type="dxa"/>
            <w:vAlign w:val="center"/>
          </w:tcPr>
          <w:p w14:paraId="145DC65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14:paraId="6C8FB73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075E77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地球的歷史</w:t>
            </w:r>
          </w:p>
        </w:tc>
        <w:tc>
          <w:tcPr>
            <w:tcW w:w="6520" w:type="dxa"/>
            <w:vAlign w:val="center"/>
          </w:tcPr>
          <w:p w14:paraId="263CC81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地層與化石</w:t>
            </w:r>
          </w:p>
        </w:tc>
      </w:tr>
      <w:tr w:rsidR="00094222" w14:paraId="2F436316" w14:textId="77777777" w:rsidTr="00017E29">
        <w:tc>
          <w:tcPr>
            <w:tcW w:w="703" w:type="dxa"/>
            <w:vAlign w:val="center"/>
          </w:tcPr>
          <w:p w14:paraId="25ACCD5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14:paraId="714F75C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0670D7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變動的地球</w:t>
            </w:r>
          </w:p>
        </w:tc>
        <w:tc>
          <w:tcPr>
            <w:tcW w:w="6520" w:type="dxa"/>
            <w:vAlign w:val="center"/>
          </w:tcPr>
          <w:p w14:paraId="5C7C7FE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地表與地殼的變動、天氣與氣候變化、海水的運動、晝夜與季節</w:t>
            </w:r>
          </w:p>
        </w:tc>
      </w:tr>
      <w:tr w:rsidR="00094222" w14:paraId="15A88320" w14:textId="77777777" w:rsidTr="00017E29">
        <w:tc>
          <w:tcPr>
            <w:tcW w:w="703" w:type="dxa"/>
            <w:vAlign w:val="center"/>
          </w:tcPr>
          <w:p w14:paraId="473D163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822" w:type="dxa"/>
            <w:vMerge/>
            <w:vAlign w:val="center"/>
          </w:tcPr>
          <w:p w14:paraId="0D8AF46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6D00AB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資源與永續發展</w:t>
            </w:r>
          </w:p>
        </w:tc>
        <w:tc>
          <w:tcPr>
            <w:tcW w:w="6520" w:type="dxa"/>
            <w:vAlign w:val="center"/>
          </w:tcPr>
          <w:p w14:paraId="1638A1E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永續發展與資源的利用、氣候變遷之影響與調適、能源的開發與利用</w:t>
            </w:r>
          </w:p>
        </w:tc>
      </w:tr>
      <w:tr w:rsidR="00094222" w14:paraId="24B300BC" w14:textId="77777777" w:rsidTr="00017E29">
        <w:tc>
          <w:tcPr>
            <w:tcW w:w="703" w:type="dxa"/>
            <w:vAlign w:val="center"/>
          </w:tcPr>
          <w:p w14:paraId="7CBB126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822" w:type="dxa"/>
            <w:vMerge/>
            <w:vAlign w:val="center"/>
          </w:tcPr>
          <w:p w14:paraId="2FBEDB75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7F5D4B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科學、科技、社會及人文</w:t>
            </w:r>
          </w:p>
        </w:tc>
        <w:tc>
          <w:tcPr>
            <w:tcW w:w="6520" w:type="dxa"/>
            <w:vAlign w:val="center"/>
          </w:tcPr>
          <w:p w14:paraId="3CEE800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科學、技術及社會的互動關係、科學發展的歷史、科學在生活中的應用、天然災害與防治、環境汙染與防治</w:t>
            </w:r>
          </w:p>
        </w:tc>
      </w:tr>
      <w:tr w:rsidR="00094222" w14:paraId="6CA5356E" w14:textId="77777777" w:rsidTr="00017E29">
        <w:tc>
          <w:tcPr>
            <w:tcW w:w="703" w:type="dxa"/>
            <w:vAlign w:val="center"/>
          </w:tcPr>
          <w:p w14:paraId="023004D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822" w:type="dxa"/>
            <w:vAlign w:val="center"/>
          </w:tcPr>
          <w:p w14:paraId="0737609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跨科主題</w:t>
            </w:r>
          </w:p>
        </w:tc>
        <w:tc>
          <w:tcPr>
            <w:tcW w:w="2156" w:type="dxa"/>
            <w:vAlign w:val="center"/>
          </w:tcPr>
          <w:p w14:paraId="72812D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20" w:type="dxa"/>
            <w:vAlign w:val="center"/>
          </w:tcPr>
          <w:p w14:paraId="60B075D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從原子到宇宙、能量與能源、全球氣候變遷與調適</w:t>
            </w:r>
          </w:p>
        </w:tc>
      </w:tr>
    </w:tbl>
    <w:p w14:paraId="18FFC0FD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【藝術領域】</w:t>
      </w:r>
    </w:p>
    <w:tbl>
      <w:tblPr>
        <w:tblStyle w:val="afe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14:paraId="0735EFDC" w14:textId="77777777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14:paraId="269B5F7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31AAED0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14:paraId="05538B8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711D2C3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5299EAB2" w14:textId="77777777" w:rsidTr="00017E29">
        <w:tc>
          <w:tcPr>
            <w:tcW w:w="703" w:type="dxa"/>
            <w:vAlign w:val="center"/>
          </w:tcPr>
          <w:p w14:paraId="3B3F6F1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14:paraId="0B967B1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音樂</w:t>
            </w:r>
          </w:p>
        </w:tc>
        <w:tc>
          <w:tcPr>
            <w:tcW w:w="2156" w:type="dxa"/>
            <w:vAlign w:val="center"/>
          </w:tcPr>
          <w:p w14:paraId="26FDB74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歌唱演奏</w:t>
            </w:r>
          </w:p>
        </w:tc>
        <w:tc>
          <w:tcPr>
            <w:tcW w:w="6520" w:type="dxa"/>
            <w:vAlign w:val="center"/>
          </w:tcPr>
          <w:p w14:paraId="6E6C7A3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歌唱、演奏、樂理、指揮</w:t>
            </w:r>
          </w:p>
        </w:tc>
      </w:tr>
      <w:tr w:rsidR="00094222" w14:paraId="101456CD" w14:textId="77777777" w:rsidTr="00017E29">
        <w:tc>
          <w:tcPr>
            <w:tcW w:w="703" w:type="dxa"/>
            <w:vAlign w:val="center"/>
          </w:tcPr>
          <w:p w14:paraId="75CD909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14:paraId="6A310091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4EFA37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創作展現</w:t>
            </w:r>
          </w:p>
        </w:tc>
        <w:tc>
          <w:tcPr>
            <w:tcW w:w="6520" w:type="dxa"/>
            <w:vAlign w:val="center"/>
          </w:tcPr>
          <w:p w14:paraId="286043C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創作手法、作曲、其他</w:t>
            </w:r>
          </w:p>
        </w:tc>
      </w:tr>
      <w:tr w:rsidR="00094222" w14:paraId="69BE208E" w14:textId="77777777" w:rsidTr="00017E29">
        <w:tc>
          <w:tcPr>
            <w:tcW w:w="703" w:type="dxa"/>
            <w:vAlign w:val="center"/>
          </w:tcPr>
          <w:p w14:paraId="7752AA7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14:paraId="3962C00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C6E48F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審美感知與理解</w:t>
            </w:r>
          </w:p>
        </w:tc>
        <w:tc>
          <w:tcPr>
            <w:tcW w:w="6520" w:type="dxa"/>
            <w:vAlign w:val="center"/>
          </w:tcPr>
          <w:p w14:paraId="4DF276A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西洋音樂各時期風格與作品、二十世紀與之後的音樂風格與作品、臺灣音樂、世界音樂</w:t>
            </w:r>
          </w:p>
        </w:tc>
      </w:tr>
      <w:tr w:rsidR="00094222" w14:paraId="2B26DC95" w14:textId="77777777" w:rsidTr="00017E29">
        <w:tc>
          <w:tcPr>
            <w:tcW w:w="703" w:type="dxa"/>
            <w:vAlign w:val="center"/>
          </w:tcPr>
          <w:p w14:paraId="3DF3E38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14:paraId="506C296D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07E18B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音樂類型</w:t>
            </w:r>
          </w:p>
        </w:tc>
        <w:tc>
          <w:tcPr>
            <w:tcW w:w="6520" w:type="dxa"/>
            <w:vAlign w:val="center"/>
          </w:tcPr>
          <w:p w14:paraId="6086B6F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聲樂、器樂、複合型(歌劇、音樂劇等)、其他</w:t>
            </w:r>
          </w:p>
        </w:tc>
      </w:tr>
      <w:tr w:rsidR="00094222" w14:paraId="0B13EB37" w14:textId="77777777" w:rsidTr="00017E29">
        <w:tc>
          <w:tcPr>
            <w:tcW w:w="703" w:type="dxa"/>
            <w:vAlign w:val="center"/>
          </w:tcPr>
          <w:p w14:paraId="0CE8FD5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 w:val="restart"/>
            <w:vAlign w:val="center"/>
          </w:tcPr>
          <w:p w14:paraId="614C022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視覺藝術</w:t>
            </w:r>
          </w:p>
        </w:tc>
        <w:tc>
          <w:tcPr>
            <w:tcW w:w="2156" w:type="dxa"/>
            <w:vAlign w:val="center"/>
          </w:tcPr>
          <w:p w14:paraId="3BFC065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創作表現</w:t>
            </w:r>
          </w:p>
        </w:tc>
        <w:tc>
          <w:tcPr>
            <w:tcW w:w="6520" w:type="dxa"/>
            <w:vAlign w:val="center"/>
          </w:tcPr>
          <w:p w14:paraId="4E8CCFF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色彩理論、美的形式原理與構成原理、表現技法</w:t>
            </w:r>
          </w:p>
        </w:tc>
      </w:tr>
      <w:tr w:rsidR="00094222" w14:paraId="3108252A" w14:textId="77777777" w:rsidTr="00017E29">
        <w:tc>
          <w:tcPr>
            <w:tcW w:w="703" w:type="dxa"/>
            <w:vAlign w:val="center"/>
          </w:tcPr>
          <w:p w14:paraId="1633495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14:paraId="4891567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AAECE2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藝術欣賞</w:t>
            </w:r>
          </w:p>
        </w:tc>
        <w:tc>
          <w:tcPr>
            <w:tcW w:w="6520" w:type="dxa"/>
            <w:vAlign w:val="center"/>
          </w:tcPr>
          <w:p w14:paraId="6F26729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藝術鑑賞、藝術風格(藝術史)、區域及各族群藝術</w:t>
            </w:r>
          </w:p>
        </w:tc>
      </w:tr>
      <w:tr w:rsidR="00094222" w14:paraId="082834A5" w14:textId="77777777" w:rsidTr="00017E29">
        <w:tc>
          <w:tcPr>
            <w:tcW w:w="703" w:type="dxa"/>
            <w:vAlign w:val="center"/>
          </w:tcPr>
          <w:p w14:paraId="208689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14:paraId="644AA4F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EA8B65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生活應用</w:t>
            </w:r>
          </w:p>
        </w:tc>
        <w:tc>
          <w:tcPr>
            <w:tcW w:w="6520" w:type="dxa"/>
            <w:vAlign w:val="center"/>
          </w:tcPr>
          <w:p w14:paraId="4966CF3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校本課程、主題式課程、展覽策劃與執行、設計思考、生活美感、藝術工作者與藝術生涯規劃</w:t>
            </w:r>
          </w:p>
        </w:tc>
      </w:tr>
      <w:tr w:rsidR="00094222" w14:paraId="781A151C" w14:textId="77777777" w:rsidTr="00017E29">
        <w:tc>
          <w:tcPr>
            <w:tcW w:w="703" w:type="dxa"/>
            <w:vAlign w:val="center"/>
          </w:tcPr>
          <w:p w14:paraId="0978523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 w:val="restart"/>
            <w:vAlign w:val="center"/>
          </w:tcPr>
          <w:p w14:paraId="67F7E61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表演藝術</w:t>
            </w:r>
          </w:p>
        </w:tc>
        <w:tc>
          <w:tcPr>
            <w:tcW w:w="2156" w:type="dxa"/>
            <w:vAlign w:val="center"/>
          </w:tcPr>
          <w:p w14:paraId="2C4405A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戲劇</w:t>
            </w:r>
          </w:p>
        </w:tc>
        <w:tc>
          <w:tcPr>
            <w:tcW w:w="6520" w:type="dxa"/>
            <w:vAlign w:val="center"/>
          </w:tcPr>
          <w:p w14:paraId="489ADCE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戲劇史、啞/默劇、說唱藝術、傳統戲曲、偶戲、音樂劇/音樂歌舞劇、說故事劇場、教育戲劇、其他</w:t>
            </w:r>
          </w:p>
        </w:tc>
      </w:tr>
      <w:tr w:rsidR="00094222" w14:paraId="2ECCB75B" w14:textId="77777777" w:rsidTr="00017E29">
        <w:tc>
          <w:tcPr>
            <w:tcW w:w="703" w:type="dxa"/>
            <w:vAlign w:val="center"/>
          </w:tcPr>
          <w:p w14:paraId="1BA8C90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/>
            <w:vAlign w:val="center"/>
          </w:tcPr>
          <w:p w14:paraId="35352D7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541E2E3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舞蹈</w:t>
            </w:r>
          </w:p>
        </w:tc>
        <w:tc>
          <w:tcPr>
            <w:tcW w:w="6520" w:type="dxa"/>
            <w:vAlign w:val="center"/>
          </w:tcPr>
          <w:p w14:paraId="24DF8A6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芭蕾、現代舞、街舞、臺灣舞蹈、世界舞蹈、其他</w:t>
            </w:r>
          </w:p>
        </w:tc>
      </w:tr>
      <w:tr w:rsidR="00094222" w14:paraId="2E0F36BE" w14:textId="77777777" w:rsidTr="00017E29">
        <w:tc>
          <w:tcPr>
            <w:tcW w:w="703" w:type="dxa"/>
            <w:vAlign w:val="center"/>
          </w:tcPr>
          <w:p w14:paraId="7EA2EB2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14:paraId="4B245A36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CA5AD0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表演元素</w:t>
            </w:r>
          </w:p>
        </w:tc>
        <w:tc>
          <w:tcPr>
            <w:tcW w:w="6520" w:type="dxa"/>
            <w:vAlign w:val="center"/>
          </w:tcPr>
          <w:p w14:paraId="0AEC80A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肢體、聲音、其他</w:t>
            </w:r>
          </w:p>
        </w:tc>
      </w:tr>
      <w:tr w:rsidR="00094222" w14:paraId="404E273C" w14:textId="77777777" w:rsidTr="00017E29">
        <w:tc>
          <w:tcPr>
            <w:tcW w:w="703" w:type="dxa"/>
            <w:vAlign w:val="center"/>
          </w:tcPr>
          <w:p w14:paraId="18B3EED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14:paraId="49DE837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865A85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展演與實務</w:t>
            </w:r>
          </w:p>
        </w:tc>
        <w:tc>
          <w:tcPr>
            <w:tcW w:w="6520" w:type="dxa"/>
            <w:vAlign w:val="center"/>
          </w:tcPr>
          <w:p w14:paraId="6EF82270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劇場行政、編劇、導演、展演場地、舞臺、燈光、化妝、服裝、道具、其他</w:t>
            </w:r>
          </w:p>
        </w:tc>
      </w:tr>
      <w:tr w:rsidR="00094222" w14:paraId="501891E5" w14:textId="77777777" w:rsidTr="00017E29">
        <w:tc>
          <w:tcPr>
            <w:tcW w:w="703" w:type="dxa"/>
            <w:vAlign w:val="center"/>
          </w:tcPr>
          <w:p w14:paraId="11440F1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12</w:t>
            </w:r>
          </w:p>
        </w:tc>
        <w:tc>
          <w:tcPr>
            <w:tcW w:w="822" w:type="dxa"/>
            <w:vMerge/>
            <w:vAlign w:val="center"/>
          </w:tcPr>
          <w:p w14:paraId="7B03236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2729FB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影視多媒體</w:t>
            </w:r>
          </w:p>
        </w:tc>
        <w:tc>
          <w:tcPr>
            <w:tcW w:w="6520" w:type="dxa"/>
            <w:vAlign w:val="center"/>
          </w:tcPr>
          <w:p w14:paraId="4265A28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(新)媒體、電影/微電影、其他</w:t>
            </w:r>
          </w:p>
        </w:tc>
      </w:tr>
    </w:tbl>
    <w:p w14:paraId="59A1E644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【綜合領域】</w:t>
      </w:r>
    </w:p>
    <w:tbl>
      <w:tblPr>
        <w:tblStyle w:val="aff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14:paraId="4C2C7CA2" w14:textId="77777777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14:paraId="330BA40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609FAA6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14:paraId="68583A4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1BC0BD5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54F08D49" w14:textId="77777777" w:rsidTr="00017E29">
        <w:tc>
          <w:tcPr>
            <w:tcW w:w="703" w:type="dxa"/>
            <w:vAlign w:val="center"/>
          </w:tcPr>
          <w:p w14:paraId="61B63E5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14:paraId="2783B57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家政</w:t>
            </w:r>
          </w:p>
        </w:tc>
        <w:tc>
          <w:tcPr>
            <w:tcW w:w="2156" w:type="dxa"/>
            <w:vAlign w:val="center"/>
          </w:tcPr>
          <w:p w14:paraId="02D4EF0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飲食</w:t>
            </w:r>
          </w:p>
        </w:tc>
        <w:tc>
          <w:tcPr>
            <w:tcW w:w="6520" w:type="dxa"/>
            <w:vAlign w:val="center"/>
          </w:tcPr>
          <w:p w14:paraId="3DE352E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飲食行為與綠色生活、食物資源的管理與運用、食品安全</w:t>
            </w:r>
          </w:p>
        </w:tc>
      </w:tr>
      <w:tr w:rsidR="00094222" w14:paraId="697BE573" w14:textId="77777777" w:rsidTr="00017E29">
        <w:tc>
          <w:tcPr>
            <w:tcW w:w="703" w:type="dxa"/>
            <w:vAlign w:val="center"/>
          </w:tcPr>
          <w:p w14:paraId="2B6915C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22" w:type="dxa"/>
            <w:vMerge/>
            <w:vAlign w:val="center"/>
          </w:tcPr>
          <w:p w14:paraId="7975D24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810DD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衣著</w:t>
            </w:r>
          </w:p>
        </w:tc>
        <w:tc>
          <w:tcPr>
            <w:tcW w:w="6520" w:type="dxa"/>
            <w:vAlign w:val="center"/>
          </w:tcPr>
          <w:p w14:paraId="7A033E5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服飾管理與消費、服飾與形象管理、織品的生活運用</w:t>
            </w:r>
          </w:p>
        </w:tc>
      </w:tr>
      <w:tr w:rsidR="00094222" w14:paraId="5DE48471" w14:textId="77777777" w:rsidTr="00017E29">
        <w:tc>
          <w:tcPr>
            <w:tcW w:w="703" w:type="dxa"/>
            <w:vAlign w:val="center"/>
          </w:tcPr>
          <w:p w14:paraId="511E563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14:paraId="13DDD22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3FD4AE3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生活管理</w:t>
            </w:r>
          </w:p>
        </w:tc>
        <w:tc>
          <w:tcPr>
            <w:tcW w:w="6520" w:type="dxa"/>
            <w:vAlign w:val="center"/>
          </w:tcPr>
          <w:p w14:paraId="5D2B36D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個人及家庭資源管理、生活文化與禮儀、創意生活與美化</w:t>
            </w:r>
          </w:p>
        </w:tc>
      </w:tr>
      <w:tr w:rsidR="00094222" w14:paraId="13B4C2CA" w14:textId="77777777" w:rsidTr="00017E29">
        <w:tc>
          <w:tcPr>
            <w:tcW w:w="703" w:type="dxa"/>
            <w:vAlign w:val="center"/>
          </w:tcPr>
          <w:p w14:paraId="22B9B9D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14:paraId="4A1A6DCD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72F33A5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</w:t>
            </w:r>
          </w:p>
        </w:tc>
        <w:tc>
          <w:tcPr>
            <w:tcW w:w="6520" w:type="dxa"/>
            <w:vAlign w:val="center"/>
          </w:tcPr>
          <w:p w14:paraId="781333B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家人關係與經營、家庭的發展變化與調適、家庭活動與共學、家庭文化與傳承</w:t>
            </w:r>
          </w:p>
        </w:tc>
      </w:tr>
      <w:tr w:rsidR="00094222" w14:paraId="08964ACB" w14:textId="77777777" w:rsidTr="00017E29">
        <w:tc>
          <w:tcPr>
            <w:tcW w:w="703" w:type="dxa"/>
            <w:vAlign w:val="center"/>
          </w:tcPr>
          <w:p w14:paraId="18A16CD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 w:val="restart"/>
            <w:vAlign w:val="center"/>
          </w:tcPr>
          <w:p w14:paraId="03DA3DF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</w:t>
            </w:r>
          </w:p>
        </w:tc>
        <w:tc>
          <w:tcPr>
            <w:tcW w:w="2156" w:type="dxa"/>
            <w:vAlign w:val="center"/>
          </w:tcPr>
          <w:p w14:paraId="6687105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童軍精神與發展</w:t>
            </w:r>
          </w:p>
        </w:tc>
        <w:tc>
          <w:tcPr>
            <w:tcW w:w="6520" w:type="dxa"/>
            <w:vAlign w:val="center"/>
          </w:tcPr>
          <w:p w14:paraId="668B49AC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童軍精神、童軍發展</w:t>
            </w:r>
          </w:p>
        </w:tc>
      </w:tr>
      <w:tr w:rsidR="00094222" w14:paraId="6CEA2410" w14:textId="77777777" w:rsidTr="00017E29">
        <w:tc>
          <w:tcPr>
            <w:tcW w:w="703" w:type="dxa"/>
            <w:vAlign w:val="center"/>
          </w:tcPr>
          <w:p w14:paraId="08BFF22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14:paraId="46B9F36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6BA739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服務行善與多元關懷</w:t>
            </w:r>
          </w:p>
        </w:tc>
        <w:tc>
          <w:tcPr>
            <w:tcW w:w="6520" w:type="dxa"/>
            <w:vAlign w:val="center"/>
          </w:tcPr>
          <w:p w14:paraId="19F1D0F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服務精神、服務行善</w:t>
            </w:r>
          </w:p>
        </w:tc>
      </w:tr>
      <w:tr w:rsidR="00094222" w14:paraId="67CDD3EA" w14:textId="77777777" w:rsidTr="00017E29">
        <w:tc>
          <w:tcPr>
            <w:tcW w:w="703" w:type="dxa"/>
            <w:vAlign w:val="center"/>
          </w:tcPr>
          <w:p w14:paraId="6D766A9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/>
            <w:vAlign w:val="center"/>
          </w:tcPr>
          <w:p w14:paraId="72E397D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044F87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戶外生活與休閒知能</w:t>
            </w:r>
          </w:p>
        </w:tc>
        <w:tc>
          <w:tcPr>
            <w:tcW w:w="6520" w:type="dxa"/>
            <w:vAlign w:val="center"/>
          </w:tcPr>
          <w:p w14:paraId="10FD7DBF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野外旅行知能、露營知能、戶外休閒活動知能</w:t>
            </w:r>
          </w:p>
        </w:tc>
      </w:tr>
      <w:tr w:rsidR="00094222" w14:paraId="223BF184" w14:textId="77777777" w:rsidTr="00017E29">
        <w:tc>
          <w:tcPr>
            <w:tcW w:w="703" w:type="dxa"/>
            <w:vAlign w:val="center"/>
          </w:tcPr>
          <w:p w14:paraId="5E47957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14:paraId="7B3CFD4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DCE200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環境保育與永續</w:t>
            </w:r>
          </w:p>
        </w:tc>
        <w:tc>
          <w:tcPr>
            <w:tcW w:w="6520" w:type="dxa"/>
            <w:vAlign w:val="center"/>
          </w:tcPr>
          <w:p w14:paraId="17AEA6A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野外與生活的環保、休閒遊憩與環保實踐、戶外休閒與環境議題</w:t>
            </w:r>
          </w:p>
        </w:tc>
      </w:tr>
      <w:tr w:rsidR="00094222" w14:paraId="18B4278F" w14:textId="77777777" w:rsidTr="00017E29">
        <w:tc>
          <w:tcPr>
            <w:tcW w:w="703" w:type="dxa"/>
            <w:vAlign w:val="center"/>
          </w:tcPr>
          <w:p w14:paraId="70AD2C2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 w:val="restart"/>
            <w:vAlign w:val="center"/>
          </w:tcPr>
          <w:p w14:paraId="3E8457F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輔導</w:t>
            </w:r>
          </w:p>
        </w:tc>
        <w:tc>
          <w:tcPr>
            <w:tcW w:w="2156" w:type="dxa"/>
            <w:vAlign w:val="center"/>
          </w:tcPr>
          <w:p w14:paraId="762EAF2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自我成長</w:t>
            </w:r>
          </w:p>
        </w:tc>
        <w:tc>
          <w:tcPr>
            <w:tcW w:w="6520" w:type="dxa"/>
            <w:vAlign w:val="center"/>
          </w:tcPr>
          <w:p w14:paraId="7802A65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自我探索與尊重差異、青少年身心發展與自我成長、珍視與尊重生命</w:t>
            </w:r>
          </w:p>
        </w:tc>
      </w:tr>
      <w:tr w:rsidR="00094222" w14:paraId="4FDFCB43" w14:textId="77777777" w:rsidTr="00017E29">
        <w:tc>
          <w:tcPr>
            <w:tcW w:w="703" w:type="dxa"/>
            <w:vAlign w:val="center"/>
          </w:tcPr>
          <w:p w14:paraId="525E453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14:paraId="0592CFB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6C3651F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自主學習</w:t>
            </w:r>
          </w:p>
        </w:tc>
        <w:tc>
          <w:tcPr>
            <w:tcW w:w="6520" w:type="dxa"/>
            <w:vAlign w:val="center"/>
          </w:tcPr>
          <w:p w14:paraId="7AF2CE4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自我管理與態度培養、學習策略與資源、高層次學習與多元學習</w:t>
            </w:r>
          </w:p>
        </w:tc>
      </w:tr>
      <w:tr w:rsidR="00094222" w14:paraId="572D87A1" w14:textId="77777777" w:rsidTr="00017E29">
        <w:tc>
          <w:tcPr>
            <w:tcW w:w="703" w:type="dxa"/>
            <w:vAlign w:val="center"/>
          </w:tcPr>
          <w:p w14:paraId="5785AAF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14:paraId="3DFCDFE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927A69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</w:t>
            </w:r>
          </w:p>
        </w:tc>
        <w:tc>
          <w:tcPr>
            <w:tcW w:w="6520" w:type="dxa"/>
            <w:vAlign w:val="center"/>
          </w:tcPr>
          <w:p w14:paraId="712FF09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生涯發展與個人統整、教育進路與職涯發展、生涯規劃、抉擇與行動</w:t>
            </w:r>
          </w:p>
        </w:tc>
      </w:tr>
      <w:tr w:rsidR="00094222" w14:paraId="7EA83AF2" w14:textId="77777777" w:rsidTr="00017E29">
        <w:tc>
          <w:tcPr>
            <w:tcW w:w="703" w:type="dxa"/>
            <w:vAlign w:val="center"/>
          </w:tcPr>
          <w:p w14:paraId="08B8FCF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22" w:type="dxa"/>
            <w:vMerge/>
            <w:vAlign w:val="center"/>
          </w:tcPr>
          <w:p w14:paraId="3BCC47AC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6E66C1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生活適應</w:t>
            </w:r>
          </w:p>
        </w:tc>
        <w:tc>
          <w:tcPr>
            <w:tcW w:w="6520" w:type="dxa"/>
            <w:vAlign w:val="center"/>
          </w:tcPr>
          <w:p w14:paraId="70CCDF87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正向習性與心理調適、生活困擾與危機因應、人際關係與團體互動、性別與多元文化社會</w:t>
            </w:r>
          </w:p>
        </w:tc>
      </w:tr>
    </w:tbl>
    <w:p w14:paraId="16EA4E54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35CB9C19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F302BAB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56082EFD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12FF8105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6F055FE0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【科技領域】</w:t>
      </w:r>
    </w:p>
    <w:tbl>
      <w:tblPr>
        <w:tblStyle w:val="aff0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822"/>
        <w:gridCol w:w="2156"/>
        <w:gridCol w:w="6520"/>
      </w:tblGrid>
      <w:tr w:rsidR="00094222" w14:paraId="03E75B63" w14:textId="77777777" w:rsidTr="00017E29">
        <w:trPr>
          <w:trHeight w:val="70"/>
        </w:trPr>
        <w:tc>
          <w:tcPr>
            <w:tcW w:w="703" w:type="dxa"/>
            <w:shd w:val="clear" w:color="auto" w:fill="F2F2F2"/>
            <w:vAlign w:val="center"/>
          </w:tcPr>
          <w:p w14:paraId="3C3C0405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22" w:type="dxa"/>
            <w:shd w:val="clear" w:color="auto" w:fill="F2F2F2"/>
            <w:vAlign w:val="center"/>
          </w:tcPr>
          <w:p w14:paraId="6573002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56" w:type="dxa"/>
            <w:shd w:val="clear" w:color="auto" w:fill="F2F2F2"/>
            <w:vAlign w:val="center"/>
          </w:tcPr>
          <w:p w14:paraId="07DA4EF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5D14D97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45028779" w14:textId="77777777" w:rsidTr="00017E29">
        <w:tc>
          <w:tcPr>
            <w:tcW w:w="703" w:type="dxa"/>
            <w:vAlign w:val="center"/>
          </w:tcPr>
          <w:p w14:paraId="5DA99E6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22" w:type="dxa"/>
            <w:vMerge w:val="restart"/>
            <w:vAlign w:val="center"/>
          </w:tcPr>
          <w:p w14:paraId="4F2FEE6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</w:t>
            </w:r>
          </w:p>
        </w:tc>
        <w:tc>
          <w:tcPr>
            <w:tcW w:w="2156" w:type="dxa"/>
            <w:vAlign w:val="center"/>
          </w:tcPr>
          <w:p w14:paraId="7CD8C1D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演算法</w:t>
            </w:r>
          </w:p>
        </w:tc>
        <w:tc>
          <w:tcPr>
            <w:tcW w:w="6520" w:type="dxa"/>
            <w:vAlign w:val="center"/>
          </w:tcPr>
          <w:p w14:paraId="22918E0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演算法基本概念(問題解析、流程控制)、陣列資料結構的概念與應用、基本演算法的介紹(搜尋、排序)、陣列程式設計</w:t>
            </w:r>
            <w:r>
              <w:rPr>
                <w:rFonts w:ascii="標楷體" w:eastAsia="標楷體" w:hAnsi="標楷體" w:cs="標楷體"/>
              </w:rPr>
              <w:lastRenderedPageBreak/>
              <w:t>實作</w:t>
            </w:r>
          </w:p>
        </w:tc>
      </w:tr>
      <w:tr w:rsidR="00094222" w14:paraId="5BBBC1E2" w14:textId="77777777" w:rsidTr="00017E29">
        <w:tc>
          <w:tcPr>
            <w:tcW w:w="703" w:type="dxa"/>
            <w:vAlign w:val="center"/>
          </w:tcPr>
          <w:p w14:paraId="0D13FA2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</w:t>
            </w:r>
          </w:p>
        </w:tc>
        <w:tc>
          <w:tcPr>
            <w:tcW w:w="822" w:type="dxa"/>
            <w:vMerge/>
            <w:vAlign w:val="center"/>
          </w:tcPr>
          <w:p w14:paraId="526FC7A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254A978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程式設計</w:t>
            </w:r>
          </w:p>
        </w:tc>
        <w:tc>
          <w:tcPr>
            <w:tcW w:w="6520" w:type="dxa"/>
            <w:vAlign w:val="center"/>
          </w:tcPr>
          <w:p w14:paraId="39A3CB5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程式語言基本概念、功能及應用、結構化程式設計(循序、選擇、重複)、模組化程式設計的概念、模組化程式設計與問題解決實作</w:t>
            </w:r>
          </w:p>
        </w:tc>
      </w:tr>
      <w:tr w:rsidR="00094222" w14:paraId="1898C9F2" w14:textId="77777777" w:rsidTr="00017E29">
        <w:tc>
          <w:tcPr>
            <w:tcW w:w="703" w:type="dxa"/>
            <w:vAlign w:val="center"/>
          </w:tcPr>
          <w:p w14:paraId="4D09E4A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22" w:type="dxa"/>
            <w:vMerge/>
            <w:vAlign w:val="center"/>
          </w:tcPr>
          <w:p w14:paraId="0F969811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F54882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系統平臺</w:t>
            </w:r>
          </w:p>
        </w:tc>
        <w:tc>
          <w:tcPr>
            <w:tcW w:w="6520" w:type="dxa"/>
            <w:vAlign w:val="center"/>
          </w:tcPr>
          <w:p w14:paraId="08F776E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系統平臺重要發展與演進、系統平臺之組成架構與基本運作原理、</w:t>
            </w:r>
          </w:p>
        </w:tc>
      </w:tr>
      <w:tr w:rsidR="00094222" w14:paraId="10C32231" w14:textId="77777777" w:rsidTr="00017E29">
        <w:tc>
          <w:tcPr>
            <w:tcW w:w="703" w:type="dxa"/>
            <w:vAlign w:val="center"/>
          </w:tcPr>
          <w:p w14:paraId="3887F67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22" w:type="dxa"/>
            <w:vMerge/>
            <w:vAlign w:val="center"/>
          </w:tcPr>
          <w:p w14:paraId="5307443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58D0DE0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資料表示、處理及分析</w:t>
            </w:r>
          </w:p>
        </w:tc>
        <w:tc>
          <w:tcPr>
            <w:tcW w:w="6520" w:type="dxa"/>
            <w:vAlign w:val="center"/>
          </w:tcPr>
          <w:p w14:paraId="5FE28988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資料處理應用專題、個人資料保護、網路技術的概念與介紹、網路服務的概念與介紹、資料數位化之原理與方法、數位資料的表示方法、資料處理概念與方法</w:t>
            </w:r>
          </w:p>
        </w:tc>
      </w:tr>
      <w:tr w:rsidR="00094222" w14:paraId="5CD7EEF1" w14:textId="77777777" w:rsidTr="00017E29">
        <w:tc>
          <w:tcPr>
            <w:tcW w:w="703" w:type="dxa"/>
            <w:vAlign w:val="center"/>
          </w:tcPr>
          <w:p w14:paraId="290367F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22" w:type="dxa"/>
            <w:vMerge/>
            <w:vAlign w:val="center"/>
          </w:tcPr>
          <w:p w14:paraId="02B8A1D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02460B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資訊科技應用</w:t>
            </w:r>
          </w:p>
        </w:tc>
        <w:tc>
          <w:tcPr>
            <w:tcW w:w="6520" w:type="dxa"/>
            <w:vAlign w:val="center"/>
          </w:tcPr>
          <w:p w14:paraId="0E9DF54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資訊科技合理使用原則、資訊安全、資訊科技應用專題(程式設計)、資訊科技應用專題(多媒體)</w:t>
            </w:r>
          </w:p>
        </w:tc>
      </w:tr>
      <w:tr w:rsidR="00094222" w14:paraId="54BBA1BD" w14:textId="77777777" w:rsidTr="00017E29">
        <w:tc>
          <w:tcPr>
            <w:tcW w:w="703" w:type="dxa"/>
            <w:vAlign w:val="center"/>
          </w:tcPr>
          <w:p w14:paraId="62F6860A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22" w:type="dxa"/>
            <w:vMerge/>
            <w:vAlign w:val="center"/>
          </w:tcPr>
          <w:p w14:paraId="26811C74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422D5A6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資訊科技與人類社會</w:t>
            </w:r>
          </w:p>
        </w:tc>
        <w:tc>
          <w:tcPr>
            <w:tcW w:w="6520" w:type="dxa"/>
            <w:vAlign w:val="center"/>
          </w:tcPr>
          <w:p w14:paraId="60F29143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媒體與資訊科技相關社會議題、資訊倫理與法律、資訊科技對人類生活之影響、常見資訊產業的特性與種類</w:t>
            </w:r>
          </w:p>
        </w:tc>
      </w:tr>
      <w:tr w:rsidR="00094222" w14:paraId="692AE6E9" w14:textId="77777777" w:rsidTr="00017E29">
        <w:tc>
          <w:tcPr>
            <w:tcW w:w="703" w:type="dxa"/>
            <w:vAlign w:val="center"/>
          </w:tcPr>
          <w:p w14:paraId="3D38A6C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822" w:type="dxa"/>
            <w:vMerge w:val="restart"/>
            <w:vAlign w:val="center"/>
          </w:tcPr>
          <w:p w14:paraId="4163E9D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生活科技</w:t>
            </w:r>
          </w:p>
        </w:tc>
        <w:tc>
          <w:tcPr>
            <w:tcW w:w="2156" w:type="dxa"/>
            <w:vAlign w:val="center"/>
          </w:tcPr>
          <w:p w14:paraId="310E3E5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科技的本質</w:t>
            </w:r>
          </w:p>
        </w:tc>
        <w:tc>
          <w:tcPr>
            <w:tcW w:w="6520" w:type="dxa"/>
            <w:vAlign w:val="center"/>
          </w:tcPr>
          <w:p w14:paraId="0A7943C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科技的起源與演進、科技的系統</w:t>
            </w:r>
          </w:p>
        </w:tc>
      </w:tr>
      <w:tr w:rsidR="00094222" w14:paraId="15045710" w14:textId="77777777" w:rsidTr="00017E29">
        <w:tc>
          <w:tcPr>
            <w:tcW w:w="703" w:type="dxa"/>
            <w:vAlign w:val="center"/>
          </w:tcPr>
          <w:p w14:paraId="2DE977E0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22" w:type="dxa"/>
            <w:vMerge/>
            <w:vAlign w:val="center"/>
          </w:tcPr>
          <w:p w14:paraId="70A8902F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DB043A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設計與製作</w:t>
            </w:r>
          </w:p>
        </w:tc>
        <w:tc>
          <w:tcPr>
            <w:tcW w:w="6520" w:type="dxa"/>
            <w:vAlign w:val="center"/>
          </w:tcPr>
          <w:p w14:paraId="3E210D34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創意思考的方法、設計圖的繪製、手工具的操作與使用、設計的流程、材料的選用與加工處理、常用的機具操作與使用、產品的設計與發展</w:t>
            </w:r>
          </w:p>
        </w:tc>
      </w:tr>
      <w:tr w:rsidR="00094222" w14:paraId="0BC8CC75" w14:textId="77777777" w:rsidTr="00017E29">
        <w:tc>
          <w:tcPr>
            <w:tcW w:w="703" w:type="dxa"/>
            <w:vAlign w:val="center"/>
          </w:tcPr>
          <w:p w14:paraId="628CCC1D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22" w:type="dxa"/>
            <w:vMerge/>
            <w:vAlign w:val="center"/>
          </w:tcPr>
          <w:p w14:paraId="4E7F636E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81646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科技的應用</w:t>
            </w:r>
          </w:p>
        </w:tc>
        <w:tc>
          <w:tcPr>
            <w:tcW w:w="6520" w:type="dxa"/>
            <w:vAlign w:val="center"/>
          </w:tcPr>
          <w:p w14:paraId="59903186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日常科技產品的選用、日常科技產品的機構與結構應用、日常科技產品的保養與維護、日常科技產品的能源與動力應用、日常科技產品的電與控制應用、新興科技的應用</w:t>
            </w:r>
          </w:p>
        </w:tc>
      </w:tr>
      <w:tr w:rsidR="00094222" w14:paraId="53944BFD" w14:textId="77777777" w:rsidTr="00017E29">
        <w:tc>
          <w:tcPr>
            <w:tcW w:w="703" w:type="dxa"/>
            <w:vAlign w:val="center"/>
          </w:tcPr>
          <w:p w14:paraId="315851C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22" w:type="dxa"/>
            <w:vMerge/>
            <w:vAlign w:val="center"/>
          </w:tcPr>
          <w:p w14:paraId="24457497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17969B0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科技與社會</w:t>
            </w:r>
          </w:p>
        </w:tc>
        <w:tc>
          <w:tcPr>
            <w:tcW w:w="6520" w:type="dxa"/>
            <w:vAlign w:val="center"/>
          </w:tcPr>
          <w:p w14:paraId="07C60AA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科技與社會的互動關係、科技對社會與環境的影響、科技議題的探究、科技產業的發展</w:t>
            </w:r>
          </w:p>
        </w:tc>
      </w:tr>
      <w:tr w:rsidR="00094222" w14:paraId="1DD0DA8F" w14:textId="77777777" w:rsidTr="00017E29">
        <w:tc>
          <w:tcPr>
            <w:tcW w:w="703" w:type="dxa"/>
            <w:vAlign w:val="center"/>
          </w:tcPr>
          <w:p w14:paraId="7B340B2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22" w:type="dxa"/>
            <w:vMerge/>
            <w:vAlign w:val="center"/>
          </w:tcPr>
          <w:p w14:paraId="169C42F1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56" w:type="dxa"/>
            <w:vAlign w:val="center"/>
          </w:tcPr>
          <w:p w14:paraId="03C0C98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</w:t>
            </w:r>
          </w:p>
        </w:tc>
        <w:tc>
          <w:tcPr>
            <w:tcW w:w="6520" w:type="dxa"/>
            <w:vAlign w:val="center"/>
          </w:tcPr>
          <w:p w14:paraId="16001FCE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生涯發展與個人統整、教育進路與職涯發展、生涯規劃、抉擇與行動</w:t>
            </w:r>
          </w:p>
        </w:tc>
      </w:tr>
    </w:tbl>
    <w:p w14:paraId="705D66AE" w14:textId="77777777" w:rsidR="00094222" w:rsidRDefault="00094222" w:rsidP="00094222">
      <w:pPr>
        <w:widowControl/>
        <w:spacing w:before="240" w:after="240"/>
        <w:rPr>
          <w:rFonts w:ascii="標楷體" w:eastAsia="標楷體" w:hAnsi="標楷體" w:cs="標楷體"/>
          <w:b/>
          <w:sz w:val="32"/>
          <w:szCs w:val="32"/>
        </w:rPr>
      </w:pPr>
    </w:p>
    <w:p w14:paraId="4A390D08" w14:textId="77777777" w:rsidR="00094222" w:rsidRDefault="00094222" w:rsidP="00094222">
      <w:pPr>
        <w:widowControl/>
        <w:spacing w:before="240" w:after="240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【健體領域】</w:t>
      </w:r>
    </w:p>
    <w:tbl>
      <w:tblPr>
        <w:tblStyle w:val="aff1"/>
        <w:tblW w:w="102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840"/>
        <w:gridCol w:w="2139"/>
        <w:gridCol w:w="6520"/>
      </w:tblGrid>
      <w:tr w:rsidR="00094222" w14:paraId="42CF7CF4" w14:textId="77777777" w:rsidTr="00017E29">
        <w:trPr>
          <w:trHeight w:val="70"/>
        </w:trPr>
        <w:tc>
          <w:tcPr>
            <w:tcW w:w="702" w:type="dxa"/>
            <w:shd w:val="clear" w:color="auto" w:fill="F2F2F2"/>
            <w:vAlign w:val="center"/>
          </w:tcPr>
          <w:p w14:paraId="09B5D46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840" w:type="dxa"/>
            <w:shd w:val="clear" w:color="auto" w:fill="F2F2F2"/>
            <w:vAlign w:val="center"/>
          </w:tcPr>
          <w:p w14:paraId="1FA368B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</w:t>
            </w:r>
          </w:p>
        </w:tc>
        <w:tc>
          <w:tcPr>
            <w:tcW w:w="2139" w:type="dxa"/>
            <w:shd w:val="clear" w:color="auto" w:fill="F2F2F2"/>
            <w:vAlign w:val="center"/>
          </w:tcPr>
          <w:p w14:paraId="5AF4E56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核心概念</w:t>
            </w:r>
          </w:p>
        </w:tc>
        <w:tc>
          <w:tcPr>
            <w:tcW w:w="6520" w:type="dxa"/>
            <w:shd w:val="clear" w:color="auto" w:fill="F2F2F2"/>
            <w:vAlign w:val="center"/>
          </w:tcPr>
          <w:p w14:paraId="0011B81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學習內容</w:t>
            </w:r>
          </w:p>
        </w:tc>
      </w:tr>
      <w:tr w:rsidR="00094222" w14:paraId="7B4D9CC2" w14:textId="77777777" w:rsidTr="00017E29">
        <w:tc>
          <w:tcPr>
            <w:tcW w:w="702" w:type="dxa"/>
            <w:vAlign w:val="center"/>
          </w:tcPr>
          <w:p w14:paraId="2CF9847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40" w:type="dxa"/>
            <w:vMerge w:val="restart"/>
            <w:vAlign w:val="center"/>
          </w:tcPr>
          <w:p w14:paraId="7B5CB3C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健康教育</w:t>
            </w:r>
          </w:p>
        </w:tc>
        <w:tc>
          <w:tcPr>
            <w:tcW w:w="2139" w:type="dxa"/>
            <w:vAlign w:val="center"/>
          </w:tcPr>
          <w:p w14:paraId="2E6AE47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生長、發展與體適能</w:t>
            </w:r>
          </w:p>
        </w:tc>
        <w:tc>
          <w:tcPr>
            <w:tcW w:w="6520" w:type="dxa"/>
            <w:vAlign w:val="center"/>
          </w:tcPr>
          <w:p w14:paraId="55CB822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生長、發育、老化與死亡</w:t>
            </w:r>
          </w:p>
        </w:tc>
      </w:tr>
      <w:tr w:rsidR="00094222" w14:paraId="04252D3F" w14:textId="77777777" w:rsidTr="00017E29">
        <w:tc>
          <w:tcPr>
            <w:tcW w:w="702" w:type="dxa"/>
            <w:vAlign w:val="center"/>
          </w:tcPr>
          <w:p w14:paraId="6B83C95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40" w:type="dxa"/>
            <w:vMerge/>
            <w:vAlign w:val="center"/>
          </w:tcPr>
          <w:p w14:paraId="39CF1898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58EF55E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安全生活與運動安全</w:t>
            </w:r>
          </w:p>
        </w:tc>
        <w:tc>
          <w:tcPr>
            <w:tcW w:w="6520" w:type="dxa"/>
            <w:vAlign w:val="center"/>
          </w:tcPr>
          <w:p w14:paraId="70BFAB8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安全教育與急救、藥物教育</w:t>
            </w:r>
          </w:p>
        </w:tc>
      </w:tr>
      <w:tr w:rsidR="00094222" w14:paraId="269C953D" w14:textId="77777777" w:rsidTr="00017E29">
        <w:tc>
          <w:tcPr>
            <w:tcW w:w="702" w:type="dxa"/>
            <w:vAlign w:val="center"/>
          </w:tcPr>
          <w:p w14:paraId="2145887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40" w:type="dxa"/>
            <w:vMerge/>
            <w:vAlign w:val="center"/>
          </w:tcPr>
          <w:p w14:paraId="03909752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5D09DBB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群體健康與運動參與</w:t>
            </w:r>
          </w:p>
        </w:tc>
        <w:tc>
          <w:tcPr>
            <w:tcW w:w="6520" w:type="dxa"/>
            <w:vAlign w:val="center"/>
          </w:tcPr>
          <w:p w14:paraId="5E3EB46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健康環境</w:t>
            </w:r>
          </w:p>
        </w:tc>
      </w:tr>
      <w:tr w:rsidR="00094222" w14:paraId="084CF986" w14:textId="77777777" w:rsidTr="00017E29">
        <w:tc>
          <w:tcPr>
            <w:tcW w:w="702" w:type="dxa"/>
            <w:vAlign w:val="center"/>
          </w:tcPr>
          <w:p w14:paraId="6015FE4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40" w:type="dxa"/>
            <w:vMerge/>
            <w:vAlign w:val="center"/>
          </w:tcPr>
          <w:p w14:paraId="46C7ED30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7EE321A7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個人衛生與性教育身心健康與疾病預防</w:t>
            </w:r>
          </w:p>
        </w:tc>
        <w:tc>
          <w:tcPr>
            <w:tcW w:w="6520" w:type="dxa"/>
            <w:vAlign w:val="center"/>
          </w:tcPr>
          <w:p w14:paraId="6A8EEDFD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個人衛生與保健、性教育</w:t>
            </w:r>
          </w:p>
        </w:tc>
      </w:tr>
      <w:tr w:rsidR="00094222" w14:paraId="6285AEE7" w14:textId="77777777" w:rsidTr="00017E29">
        <w:tc>
          <w:tcPr>
            <w:tcW w:w="702" w:type="dxa"/>
            <w:vAlign w:val="center"/>
          </w:tcPr>
          <w:p w14:paraId="0C0D51C4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40" w:type="dxa"/>
            <w:vMerge/>
            <w:vAlign w:val="center"/>
          </w:tcPr>
          <w:p w14:paraId="760675A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70DBD93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人、食物與健康消費</w:t>
            </w:r>
          </w:p>
        </w:tc>
        <w:tc>
          <w:tcPr>
            <w:tcW w:w="6520" w:type="dxa"/>
            <w:vAlign w:val="center"/>
          </w:tcPr>
          <w:p w14:paraId="3D28D52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人與食物、健康消費</w:t>
            </w:r>
          </w:p>
        </w:tc>
      </w:tr>
      <w:tr w:rsidR="00094222" w14:paraId="5E1BB53C" w14:textId="77777777" w:rsidTr="00017E29">
        <w:tc>
          <w:tcPr>
            <w:tcW w:w="702" w:type="dxa"/>
            <w:vAlign w:val="center"/>
          </w:tcPr>
          <w:p w14:paraId="3D93B22E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840" w:type="dxa"/>
            <w:vMerge/>
            <w:vAlign w:val="center"/>
          </w:tcPr>
          <w:p w14:paraId="66275584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0E089BB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身心健康與疾</w:t>
            </w:r>
          </w:p>
          <w:p w14:paraId="7B4BAC5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病預防</w:t>
            </w:r>
          </w:p>
        </w:tc>
        <w:tc>
          <w:tcPr>
            <w:tcW w:w="6520" w:type="dxa"/>
            <w:vAlign w:val="center"/>
          </w:tcPr>
          <w:p w14:paraId="211FDAD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健康心理、健康促進與疾病預防</w:t>
            </w:r>
          </w:p>
        </w:tc>
      </w:tr>
      <w:tr w:rsidR="00094222" w14:paraId="3EF6BE95" w14:textId="77777777" w:rsidTr="00017E29">
        <w:tc>
          <w:tcPr>
            <w:tcW w:w="702" w:type="dxa"/>
            <w:vAlign w:val="center"/>
          </w:tcPr>
          <w:p w14:paraId="6804A90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7</w:t>
            </w:r>
          </w:p>
        </w:tc>
        <w:tc>
          <w:tcPr>
            <w:tcW w:w="840" w:type="dxa"/>
            <w:vMerge w:val="restart"/>
            <w:vAlign w:val="center"/>
          </w:tcPr>
          <w:p w14:paraId="15D5FA91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體育</w:t>
            </w:r>
          </w:p>
        </w:tc>
        <w:tc>
          <w:tcPr>
            <w:tcW w:w="2139" w:type="dxa"/>
            <w:vAlign w:val="center"/>
          </w:tcPr>
          <w:p w14:paraId="4CFA51E9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生長、發展與體適能</w:t>
            </w:r>
          </w:p>
        </w:tc>
        <w:tc>
          <w:tcPr>
            <w:tcW w:w="6520" w:type="dxa"/>
            <w:vAlign w:val="center"/>
          </w:tcPr>
          <w:p w14:paraId="3A252B31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體適能</w:t>
            </w:r>
          </w:p>
        </w:tc>
      </w:tr>
      <w:tr w:rsidR="00094222" w14:paraId="34469088" w14:textId="77777777" w:rsidTr="00017E29">
        <w:tc>
          <w:tcPr>
            <w:tcW w:w="702" w:type="dxa"/>
            <w:vAlign w:val="center"/>
          </w:tcPr>
          <w:p w14:paraId="1AFA346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840" w:type="dxa"/>
            <w:vMerge/>
            <w:vAlign w:val="center"/>
          </w:tcPr>
          <w:p w14:paraId="0BB9C1FE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7053EDEF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安全生活與運動安全</w:t>
            </w:r>
          </w:p>
        </w:tc>
        <w:tc>
          <w:tcPr>
            <w:tcW w:w="6520" w:type="dxa"/>
            <w:vAlign w:val="center"/>
          </w:tcPr>
          <w:p w14:paraId="5EDBE0A9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運動傷害與防護、防衛性運動</w:t>
            </w:r>
          </w:p>
        </w:tc>
      </w:tr>
      <w:tr w:rsidR="00094222" w14:paraId="3EC0456F" w14:textId="77777777" w:rsidTr="00017E29">
        <w:tc>
          <w:tcPr>
            <w:tcW w:w="702" w:type="dxa"/>
            <w:vAlign w:val="center"/>
          </w:tcPr>
          <w:p w14:paraId="122382C8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840" w:type="dxa"/>
            <w:vMerge/>
            <w:vAlign w:val="center"/>
          </w:tcPr>
          <w:p w14:paraId="775CF02B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4376A6B2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群體健康與運動參與</w:t>
            </w:r>
          </w:p>
        </w:tc>
        <w:tc>
          <w:tcPr>
            <w:tcW w:w="6520" w:type="dxa"/>
            <w:vAlign w:val="center"/>
          </w:tcPr>
          <w:p w14:paraId="39E5C4EB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運動知識、水域休閒運動、戶外休閒運動、其他休閒運動</w:t>
            </w:r>
          </w:p>
        </w:tc>
      </w:tr>
      <w:tr w:rsidR="00094222" w14:paraId="421678B7" w14:textId="77777777" w:rsidTr="00017E29">
        <w:tc>
          <w:tcPr>
            <w:tcW w:w="702" w:type="dxa"/>
            <w:vAlign w:val="center"/>
          </w:tcPr>
          <w:p w14:paraId="713499E6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840" w:type="dxa"/>
            <w:vMerge/>
            <w:vAlign w:val="center"/>
          </w:tcPr>
          <w:p w14:paraId="0A00FFF3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6367B64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挑戰類型運動</w:t>
            </w:r>
          </w:p>
        </w:tc>
        <w:tc>
          <w:tcPr>
            <w:tcW w:w="6520" w:type="dxa"/>
            <w:vAlign w:val="center"/>
          </w:tcPr>
          <w:p w14:paraId="1CC80FE5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田徑、游泳</w:t>
            </w:r>
          </w:p>
        </w:tc>
      </w:tr>
      <w:tr w:rsidR="00094222" w14:paraId="312544C5" w14:textId="77777777" w:rsidTr="00017E29">
        <w:tc>
          <w:tcPr>
            <w:tcW w:w="702" w:type="dxa"/>
            <w:vAlign w:val="center"/>
          </w:tcPr>
          <w:p w14:paraId="7321EAFB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840" w:type="dxa"/>
            <w:vMerge/>
            <w:vAlign w:val="center"/>
          </w:tcPr>
          <w:p w14:paraId="77408B9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02388CD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競爭類型運動</w:t>
            </w:r>
          </w:p>
        </w:tc>
        <w:tc>
          <w:tcPr>
            <w:tcW w:w="6520" w:type="dxa"/>
            <w:vAlign w:val="center"/>
          </w:tcPr>
          <w:p w14:paraId="4E80756A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網/牆性球類運動、陣地攻守性球類運動、標的性球類運動、守備/跑分性球類運動</w:t>
            </w:r>
          </w:p>
        </w:tc>
      </w:tr>
      <w:tr w:rsidR="00094222" w14:paraId="6215AC4F" w14:textId="77777777" w:rsidTr="00017E29">
        <w:tc>
          <w:tcPr>
            <w:tcW w:w="702" w:type="dxa"/>
            <w:vAlign w:val="center"/>
          </w:tcPr>
          <w:p w14:paraId="7DCBFB33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840" w:type="dxa"/>
            <w:vMerge/>
            <w:vAlign w:val="center"/>
          </w:tcPr>
          <w:p w14:paraId="1570D83A" w14:textId="77777777" w:rsidR="00094222" w:rsidRDefault="00094222" w:rsidP="0001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139" w:type="dxa"/>
            <w:vAlign w:val="center"/>
          </w:tcPr>
          <w:p w14:paraId="2523F6EC" w14:textId="77777777" w:rsidR="00094222" w:rsidRDefault="00094222" w:rsidP="00017E2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表現類型運動</w:t>
            </w:r>
          </w:p>
        </w:tc>
        <w:tc>
          <w:tcPr>
            <w:tcW w:w="6520" w:type="dxa"/>
            <w:vAlign w:val="center"/>
          </w:tcPr>
          <w:p w14:paraId="6FC48B02" w14:textId="77777777" w:rsidR="00094222" w:rsidRDefault="00094222" w:rsidP="00017E2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體操、舞蹈、民俗運動</w:t>
            </w:r>
          </w:p>
        </w:tc>
      </w:tr>
    </w:tbl>
    <w:p w14:paraId="748031C8" w14:textId="77777777" w:rsidR="00094222" w:rsidRDefault="00094222" w:rsidP="00094222">
      <w:pPr>
        <w:widowControl/>
        <w:rPr>
          <w:rFonts w:ascii="標楷體" w:eastAsia="標楷體" w:hAnsi="標楷體" w:cs="標楷體"/>
        </w:rPr>
      </w:pPr>
    </w:p>
    <w:p w14:paraId="7502B2C0" w14:textId="77777777" w:rsidR="00094222" w:rsidRDefault="00094222" w:rsidP="00094222">
      <w:pPr>
        <w:spacing w:line="480" w:lineRule="auto"/>
        <w:rPr>
          <w:rFonts w:ascii="標楷體" w:eastAsia="標楷體" w:hAnsi="標楷體" w:cs="標楷體"/>
          <w:color w:val="000000"/>
        </w:rPr>
      </w:pPr>
    </w:p>
    <w:p w14:paraId="03905B93" w14:textId="77777777" w:rsidR="00094222" w:rsidRPr="00957740" w:rsidRDefault="00094222" w:rsidP="00094222">
      <w:pPr>
        <w:widowControl/>
        <w:rPr>
          <w:rFonts w:ascii="標楷體" w:eastAsia="標楷體" w:hAnsi="標楷體" w:cs="標楷體"/>
        </w:rPr>
      </w:pPr>
    </w:p>
    <w:p w14:paraId="5415D890" w14:textId="77777777" w:rsidR="00DD7C1B" w:rsidRPr="00094222" w:rsidRDefault="00DD7C1B" w:rsidP="00DD7C1B">
      <w:pPr>
        <w:spacing w:line="360" w:lineRule="auto"/>
        <w:rPr>
          <w:rFonts w:ascii="標楷體" w:eastAsia="標楷體" w:hAnsi="標楷體" w:cs="標楷體"/>
        </w:rPr>
      </w:pPr>
    </w:p>
    <w:sectPr w:rsidR="00DD7C1B" w:rsidRPr="00094222" w:rsidSect="00DD7C1B">
      <w:footerReference w:type="default" r:id="rId9"/>
      <w:pgSz w:w="11906" w:h="16838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E0F1" w14:textId="77777777" w:rsidR="007B26B0" w:rsidRDefault="007B26B0">
      <w:r>
        <w:separator/>
      </w:r>
    </w:p>
  </w:endnote>
  <w:endnote w:type="continuationSeparator" w:id="0">
    <w:p w14:paraId="085A3B5E" w14:textId="77777777" w:rsidR="007B26B0" w:rsidRDefault="007B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97BE" w14:textId="77777777" w:rsidR="00957740" w:rsidRDefault="009577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F097" w14:textId="77777777" w:rsidR="007B26B0" w:rsidRDefault="007B26B0">
      <w:r>
        <w:separator/>
      </w:r>
    </w:p>
  </w:footnote>
  <w:footnote w:type="continuationSeparator" w:id="0">
    <w:p w14:paraId="17BB0994" w14:textId="77777777" w:rsidR="007B26B0" w:rsidRDefault="007B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1D65"/>
    <w:multiLevelType w:val="multilevel"/>
    <w:tmpl w:val="C2445234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decimal"/>
      <w:lvlText w:val="%2、"/>
      <w:lvlJc w:val="left"/>
      <w:pPr>
        <w:ind w:left="1356" w:hanging="480"/>
      </w:pPr>
    </w:lvl>
    <w:lvl w:ilvl="2">
      <w:start w:val="1"/>
      <w:numFmt w:val="lowerRoman"/>
      <w:lvlText w:val="%3."/>
      <w:lvlJc w:val="right"/>
      <w:pPr>
        <w:ind w:left="1836" w:hanging="480"/>
      </w:pPr>
    </w:lvl>
    <w:lvl w:ilvl="3">
      <w:start w:val="1"/>
      <w:numFmt w:val="decimal"/>
      <w:lvlText w:val="%4."/>
      <w:lvlJc w:val="left"/>
      <w:pPr>
        <w:ind w:left="2316" w:hanging="480"/>
      </w:pPr>
    </w:lvl>
    <w:lvl w:ilvl="4">
      <w:start w:val="1"/>
      <w:numFmt w:val="decimal"/>
      <w:lvlText w:val="%5、"/>
      <w:lvlJc w:val="left"/>
      <w:pPr>
        <w:ind w:left="2796" w:hanging="480"/>
      </w:pPr>
    </w:lvl>
    <w:lvl w:ilvl="5">
      <w:start w:val="1"/>
      <w:numFmt w:val="lowerRoman"/>
      <w:lvlText w:val="%6."/>
      <w:lvlJc w:val="right"/>
      <w:pPr>
        <w:ind w:left="3276" w:hanging="480"/>
      </w:pPr>
    </w:lvl>
    <w:lvl w:ilvl="6">
      <w:start w:val="1"/>
      <w:numFmt w:val="decimal"/>
      <w:lvlText w:val="%7."/>
      <w:lvlJc w:val="left"/>
      <w:pPr>
        <w:ind w:left="3756" w:hanging="480"/>
      </w:pPr>
    </w:lvl>
    <w:lvl w:ilvl="7">
      <w:start w:val="1"/>
      <w:numFmt w:val="decimal"/>
      <w:lvlText w:val="%8、"/>
      <w:lvlJc w:val="left"/>
      <w:pPr>
        <w:ind w:left="4236" w:hanging="480"/>
      </w:pPr>
    </w:lvl>
    <w:lvl w:ilvl="8">
      <w:start w:val="1"/>
      <w:numFmt w:val="lowerRoman"/>
      <w:lvlText w:val="%9."/>
      <w:lvlJc w:val="right"/>
      <w:pPr>
        <w:ind w:left="4716" w:hanging="480"/>
      </w:pPr>
    </w:lvl>
  </w:abstractNum>
  <w:abstractNum w:abstractNumId="1" w15:restartNumberingAfterBreak="0">
    <w:nsid w:val="2C143BD6"/>
    <w:multiLevelType w:val="multilevel"/>
    <w:tmpl w:val="8E1689C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666164"/>
    <w:multiLevelType w:val="multilevel"/>
    <w:tmpl w:val="06FAF4C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345594965">
    <w:abstractNumId w:val="1"/>
  </w:num>
  <w:num w:numId="2" w16cid:durableId="537473351">
    <w:abstractNumId w:val="0"/>
  </w:num>
  <w:num w:numId="3" w16cid:durableId="512574130">
    <w:abstractNumId w:val="3"/>
  </w:num>
  <w:num w:numId="4" w16cid:durableId="172647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BC2"/>
    <w:rsid w:val="00094222"/>
    <w:rsid w:val="000A6194"/>
    <w:rsid w:val="004465BD"/>
    <w:rsid w:val="00491566"/>
    <w:rsid w:val="004D1F87"/>
    <w:rsid w:val="005D0BC2"/>
    <w:rsid w:val="007A0DB5"/>
    <w:rsid w:val="007B26B0"/>
    <w:rsid w:val="00957740"/>
    <w:rsid w:val="00A846D2"/>
    <w:rsid w:val="00B40526"/>
    <w:rsid w:val="00B903BC"/>
    <w:rsid w:val="00BE4880"/>
    <w:rsid w:val="00CD2870"/>
    <w:rsid w:val="00DD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27CB7"/>
  <w15:docId w15:val="{A7C481D4-0B33-4538-A1B8-2EE6EE72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427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4277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144CD"/>
  </w:style>
  <w:style w:type="character" w:customStyle="1" w:styleId="ad">
    <w:name w:val="註解文字 字元"/>
    <w:basedOn w:val="a0"/>
    <w:link w:val="ac"/>
    <w:uiPriority w:val="99"/>
    <w:rsid w:val="00F144CD"/>
  </w:style>
  <w:style w:type="paragraph" w:styleId="ae">
    <w:name w:val="annotation subject"/>
    <w:basedOn w:val="ac"/>
    <w:next w:val="ac"/>
    <w:link w:val="af"/>
    <w:uiPriority w:val="99"/>
    <w:semiHidden/>
    <w:unhideWhenUsed/>
    <w:rsid w:val="00F144C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144C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3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5">
    <w:name w:val="清單段落 字元"/>
    <w:link w:val="a4"/>
    <w:uiPriority w:val="34"/>
    <w:locked/>
    <w:rsid w:val="008775DF"/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L3+Kolh9c/qkI6nJoe/wddIOQ==">AMUW2mXOoSgXXud0YfH16YbJ+kKp1D6LQrVBwah/ovdpO6hc8PpjQERXnpJRH2PScWvLkmlCDodySF+3Q2dvlMG36buQlX8NhflYsDRNFMhkPl9iHgAdByYkWmSDMNEFY9o3DBTX3tAQ</go:docsCustomData>
</go:gDocsCustomXmlDataStorage>
</file>

<file path=customXml/itemProps1.xml><?xml version="1.0" encoding="utf-8"?>
<ds:datastoreItem xmlns:ds="http://schemas.openxmlformats.org/officeDocument/2006/customXml" ds:itemID="{FD6138F4-F975-4F72-BEFF-12D8D81263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基舜 徐</cp:lastModifiedBy>
  <cp:revision>4</cp:revision>
  <dcterms:created xsi:type="dcterms:W3CDTF">2022-02-11T07:11:00Z</dcterms:created>
  <dcterms:modified xsi:type="dcterms:W3CDTF">2022-09-18T08:08:00Z</dcterms:modified>
</cp:coreProperties>
</file>