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22" w:rsidRDefault="00094222" w:rsidP="00094222">
      <w:pPr>
        <w:spacing w:line="360" w:lineRule="auto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</w:rPr>
        <w:t>附件四</w:t>
      </w:r>
    </w:p>
    <w:p w:rsidR="00094222" w:rsidRPr="00957740" w:rsidRDefault="00094222" w:rsidP="00094222">
      <w:pPr>
        <w:spacing w:line="360" w:lineRule="auto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 w:rsidRPr="00957740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各領域核心概念與學習內容清單</w:t>
      </w:r>
      <w:bookmarkStart w:id="0" w:name="_GoBack"/>
      <w:bookmarkEnd w:id="0"/>
    </w:p>
    <w:p w:rsidR="00094222" w:rsidRDefault="00094222" w:rsidP="0009422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6"/>
          <w:tab w:val="center" w:pos="5102"/>
        </w:tabs>
        <w:spacing w:before="240" w:after="240"/>
        <w:rPr>
          <w:rFonts w:ascii="標楷體" w:eastAsia="標楷體" w:hAnsi="標楷體" w:cs="標楷體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44A5DD43" wp14:editId="2A262038">
            <wp:simplePos x="0" y="0"/>
            <wp:positionH relativeFrom="margin">
              <wp:align>right</wp:align>
            </wp:positionH>
            <wp:positionV relativeFrom="paragraph">
              <wp:posOffset>495646</wp:posOffset>
            </wp:positionV>
            <wp:extent cx="895350" cy="895350"/>
            <wp:effectExtent l="0" t="0" r="0" b="0"/>
            <wp:wrapNone/>
            <wp:docPr id="2" name="image1.png" descr="C:\Users\10033628\AppData\Local\Microsoft\Windows\INetCache\Content.MSO\AF67D132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10033628\AppData\Local\Microsoft\Windows\INetCache\Content.MSO\AF67D132.tmp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選擇下表的核心概念，決定自己欲拍攝的學習內容(可查詢110核心概念影片建置</w:t>
      </w:r>
      <w:proofErr w:type="gramStart"/>
      <w:r>
        <w:rPr>
          <w:rFonts w:ascii="標楷體" w:eastAsia="標楷體" w:hAnsi="標楷體" w:cs="標楷體"/>
          <w:b/>
          <w:color w:val="FF0000"/>
          <w:sz w:val="28"/>
          <w:szCs w:val="28"/>
        </w:rPr>
        <w:t>規</w:t>
      </w:r>
      <w:proofErr w:type="gramEnd"/>
      <w:r>
        <w:rPr>
          <w:rFonts w:ascii="標楷體" w:eastAsia="標楷體" w:hAnsi="標楷體" w:cs="標楷體"/>
          <w:b/>
          <w:color w:val="FF0000"/>
          <w:sz w:val="28"/>
          <w:szCs w:val="28"/>
        </w:rPr>
        <w:t>畫表Excel檔，確認內容主題是否有重複)</w:t>
      </w:r>
    </w:p>
    <w:p w:rsidR="00094222" w:rsidRPr="00957740" w:rsidRDefault="00094222" w:rsidP="00094222">
      <w:pPr>
        <w:widowControl/>
        <w:tabs>
          <w:tab w:val="left" w:pos="396"/>
          <w:tab w:val="center" w:pos="5102"/>
        </w:tabs>
        <w:spacing w:before="240" w:after="240"/>
        <w:ind w:left="396"/>
        <w:rPr>
          <w:rFonts w:ascii="標楷體" w:eastAsia="標楷體" w:hAnsi="標楷體" w:cs="標楷體"/>
          <w:b/>
          <w:sz w:val="28"/>
          <w:szCs w:val="28"/>
        </w:rPr>
      </w:pPr>
      <w:bookmarkStart w:id="1" w:name="_heading=h.30j0zll" w:colFirst="0" w:colLast="0"/>
      <w:bookmarkEnd w:id="1"/>
      <w:r>
        <w:rPr>
          <w:rFonts w:ascii="標楷體" w:eastAsia="標楷體" w:hAnsi="標楷體" w:cs="標楷體"/>
          <w:b/>
          <w:sz w:val="28"/>
          <w:szCs w:val="28"/>
        </w:rPr>
        <w:t xml:space="preserve">https://reurl.cc/522nAq 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ab/>
      </w:r>
    </w:p>
    <w:p w:rsidR="00094222" w:rsidRDefault="00094222" w:rsidP="00094222">
      <w:pPr>
        <w:widowControl/>
        <w:tabs>
          <w:tab w:val="left" w:pos="396"/>
          <w:tab w:val="center" w:pos="5102"/>
        </w:tabs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【國文領域】</w:t>
      </w:r>
    </w:p>
    <w:tbl>
      <w:tblPr>
        <w:tblStyle w:val="af9"/>
        <w:tblW w:w="10364" w:type="dxa"/>
        <w:tblInd w:w="-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2419"/>
        <w:gridCol w:w="7230"/>
      </w:tblGrid>
      <w:tr w:rsidR="00094222" w:rsidTr="00017E29">
        <w:trPr>
          <w:trHeight w:val="70"/>
        </w:trPr>
        <w:tc>
          <w:tcPr>
            <w:tcW w:w="715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2419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723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rPr>
          <w:trHeight w:val="226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文字篇章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字詞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字形、字音、字義、六書、書法碑帖</w:t>
            </w:r>
          </w:p>
        </w:tc>
      </w:tr>
      <w:tr w:rsidR="00094222" w:rsidTr="00017E29">
        <w:trPr>
          <w:trHeight w:val="307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文字篇章</w:t>
            </w:r>
            <w:proofErr w:type="gramStart"/>
            <w:r>
              <w:rPr>
                <w:rFonts w:ascii="標楷體" w:eastAsia="標楷體" w:hAnsi="標楷體" w:cs="標楷體"/>
              </w:rPr>
              <w:t>─句段</w:t>
            </w:r>
            <w:proofErr w:type="gramEnd"/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標點符號、句型、文句邏輯與意義</w:t>
            </w:r>
          </w:p>
        </w:tc>
      </w:tr>
      <w:tr w:rsidR="00094222" w:rsidTr="00017E29">
        <w:trPr>
          <w:trHeight w:val="318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文字篇章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篇章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篇章主旨、結構、寓意</w:t>
            </w:r>
          </w:p>
        </w:tc>
      </w:tr>
      <w:tr w:rsidR="00094222" w:rsidTr="00017E29">
        <w:trPr>
          <w:trHeight w:val="307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文字篇章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文體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白話、文言(韻文、非韻文)</w:t>
            </w:r>
          </w:p>
        </w:tc>
      </w:tr>
      <w:tr w:rsidR="00094222" w:rsidTr="00017E29">
        <w:trPr>
          <w:trHeight w:val="626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記敘文本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順敘</w:t>
            </w:r>
            <w:proofErr w:type="gramEnd"/>
            <w:r>
              <w:rPr>
                <w:rFonts w:ascii="標楷體" w:eastAsia="標楷體" w:hAnsi="標楷體" w:cs="標楷體"/>
              </w:rPr>
              <w:t>、倒敘、插敘、</w:t>
            </w:r>
            <w:proofErr w:type="gramStart"/>
            <w:r>
              <w:rPr>
                <w:rFonts w:ascii="標楷體" w:eastAsia="標楷體" w:hAnsi="標楷體" w:cs="標楷體"/>
              </w:rPr>
              <w:t>補敘</w:t>
            </w:r>
            <w:proofErr w:type="gramEnd"/>
            <w:r>
              <w:rPr>
                <w:rFonts w:ascii="標楷體" w:eastAsia="標楷體" w:hAnsi="標楷體" w:cs="標楷體"/>
              </w:rPr>
              <w:t>、描寫法</w:t>
            </w:r>
          </w:p>
        </w:tc>
      </w:tr>
      <w:tr w:rsidR="00094222" w:rsidTr="00017E29">
        <w:trPr>
          <w:trHeight w:val="637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抒情文本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直接抒情、間接抒情、人我交流、社會體悟、自然生命感悟</w:t>
            </w:r>
          </w:p>
        </w:tc>
      </w:tr>
      <w:tr w:rsidR="00094222" w:rsidTr="00017E29">
        <w:trPr>
          <w:trHeight w:val="626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說明文本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客觀理性說明、因果對比寫作手法、數據圖表輔助說明</w:t>
            </w:r>
          </w:p>
        </w:tc>
      </w:tr>
      <w:tr w:rsidR="00094222" w:rsidTr="00017E29">
        <w:trPr>
          <w:trHeight w:val="626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議論文本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論據、論證</w:t>
            </w:r>
          </w:p>
        </w:tc>
      </w:tr>
      <w:tr w:rsidR="00094222" w:rsidTr="00017E29">
        <w:trPr>
          <w:trHeight w:val="626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應用文本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生活應用方面、人際溝通方面、學習應用方面（自傳、書信、便條、對聯、簡報）</w:t>
            </w:r>
          </w:p>
        </w:tc>
      </w:tr>
      <w:tr w:rsidR="00094222" w:rsidTr="00017E29">
        <w:trPr>
          <w:trHeight w:val="318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閱讀理解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307"/>
        </w:trPr>
        <w:tc>
          <w:tcPr>
            <w:tcW w:w="715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241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寫作策略</w:t>
            </w:r>
          </w:p>
        </w:tc>
        <w:tc>
          <w:tcPr>
            <w:tcW w:w="723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</w:tbl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【英文領域】</w:t>
      </w:r>
    </w:p>
    <w:tbl>
      <w:tblPr>
        <w:tblStyle w:val="afa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116"/>
      </w:tblGrid>
      <w:tr w:rsidR="00094222" w:rsidTr="00017E29">
        <w:trPr>
          <w:trHeight w:val="70"/>
        </w:trPr>
        <w:tc>
          <w:tcPr>
            <w:tcW w:w="704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2381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7116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rPr>
          <w:trHeight w:val="225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字母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連續體大小寫字母</w:t>
            </w:r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語音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句子的發音、重音及語調，歌謠、韻文的節奏，</w:t>
            </w:r>
            <w:proofErr w:type="gramStart"/>
            <w:r>
              <w:rPr>
                <w:rFonts w:ascii="標楷體" w:eastAsia="標楷體" w:hAnsi="標楷體" w:cs="標楷體"/>
              </w:rPr>
              <w:t>字母拼讀規則</w:t>
            </w:r>
            <w:proofErr w:type="gramEnd"/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字詞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教室用語、生活用語、1,200字詞</w:t>
            </w:r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句構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文法句型</w:t>
            </w:r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</w:t>
            </w:r>
            <w:proofErr w:type="gramStart"/>
            <w:r>
              <w:rPr>
                <w:rFonts w:ascii="標楷體" w:eastAsia="標楷體" w:hAnsi="標楷體" w:cs="標楷體"/>
              </w:rPr>
              <w:t>─</w:t>
            </w:r>
            <w:proofErr w:type="gramEnd"/>
            <w:r>
              <w:rPr>
                <w:rFonts w:ascii="標楷體" w:eastAsia="標楷體" w:hAnsi="標楷體" w:cs="標楷體"/>
              </w:rPr>
              <w:t>篇章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歌謠、韻文、短文（大意）、故事（背景、人物、事件、結局）、短劇、圖表、公共廣播、書信、不同體裁或文體比較</w:t>
            </w:r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溝通功能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生活溝通、自己和他人的描述、感受的表達、圖片描述、角色扮演、引導式討論</w:t>
            </w:r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7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文化與習俗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國內外節慶、風俗、世界觀、禮儀</w:t>
            </w:r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思考能力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綜合資料推測，訊息比較、歸類、排序，因果關係</w:t>
            </w:r>
            <w:proofErr w:type="gramStart"/>
            <w:r>
              <w:rPr>
                <w:rFonts w:ascii="標楷體" w:eastAsia="標楷體" w:hAnsi="標楷體" w:cs="標楷體"/>
              </w:rPr>
              <w:t>釐</w:t>
            </w:r>
            <w:proofErr w:type="gramEnd"/>
            <w:r>
              <w:rPr>
                <w:rFonts w:ascii="標楷體" w:eastAsia="標楷體" w:hAnsi="標楷體" w:cs="標楷體"/>
              </w:rPr>
              <w:t>清，客觀事實和主觀意見的分辨</w:t>
            </w:r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閱讀理解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2381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寫作策略</w:t>
            </w:r>
          </w:p>
        </w:tc>
        <w:tc>
          <w:tcPr>
            <w:tcW w:w="7116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</w:tbl>
    <w:p w:rsidR="00094222" w:rsidRDefault="00094222" w:rsidP="00094222">
      <w:pPr>
        <w:widowControl/>
        <w:spacing w:before="240" w:after="240"/>
        <w:rPr>
          <w:rFonts w:ascii="標楷體" w:eastAsia="標楷體" w:hAnsi="標楷體" w:cs="標楷體"/>
          <w:b/>
          <w:sz w:val="32"/>
          <w:szCs w:val="32"/>
        </w:rPr>
      </w:pPr>
    </w:p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【數學領域】</w:t>
      </w:r>
    </w:p>
    <w:tbl>
      <w:tblPr>
        <w:tblStyle w:val="afb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977"/>
        <w:gridCol w:w="5670"/>
      </w:tblGrid>
      <w:tr w:rsidR="00094222" w:rsidTr="00017E29">
        <w:trPr>
          <w:trHeight w:val="70"/>
        </w:trPr>
        <w:tc>
          <w:tcPr>
            <w:tcW w:w="704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567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rPr>
          <w:trHeight w:val="584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整數</w:t>
            </w:r>
            <w:proofErr w:type="gramStart"/>
            <w:r>
              <w:rPr>
                <w:rFonts w:ascii="標楷體" w:eastAsia="標楷體" w:hAnsi="標楷體" w:cs="標楷體"/>
              </w:rPr>
              <w:t>與數線</w:t>
            </w:r>
            <w:proofErr w:type="gramEnd"/>
          </w:p>
        </w:tc>
        <w:tc>
          <w:tcPr>
            <w:tcW w:w="5670" w:type="dxa"/>
            <w:vMerge w:val="restart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100以內的質數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質因數分解的標準分解式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負數與數的四則混合運(</w:t>
            </w:r>
            <w:proofErr w:type="gramStart"/>
            <w:r>
              <w:rPr>
                <w:rFonts w:ascii="標楷體" w:eastAsia="標楷體" w:hAnsi="標楷體" w:cs="標楷體"/>
              </w:rPr>
              <w:t>算含分數</w:t>
            </w:r>
            <w:proofErr w:type="gramEnd"/>
            <w:r>
              <w:rPr>
                <w:rFonts w:ascii="標楷體" w:eastAsia="標楷體" w:hAnsi="標楷體" w:cs="標楷體"/>
              </w:rPr>
              <w:t>、小數)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數的運算規律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數線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指數的意義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指數律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科學記號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比與比例式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簡單圖形與幾何符號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三</w:t>
            </w:r>
            <w:proofErr w:type="gramEnd"/>
            <w:r>
              <w:rPr>
                <w:rFonts w:ascii="標楷體" w:eastAsia="標楷體" w:hAnsi="標楷體" w:cs="標楷體"/>
              </w:rPr>
              <w:t>視圖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垂直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線對稱的性質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線對稱的基本圖形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平面直角坐標系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代數符號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一元一次方程式的意義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一元一次方程式的解法與應用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</w:t>
            </w:r>
            <w:proofErr w:type="gramStart"/>
            <w:r>
              <w:rPr>
                <w:rFonts w:ascii="標楷體" w:eastAsia="標楷體" w:hAnsi="標楷體" w:cs="標楷體"/>
              </w:rPr>
              <w:t>聯立方程式的意義</w:t>
            </w:r>
            <w:proofErr w:type="gramEnd"/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</w:t>
            </w:r>
            <w:proofErr w:type="gramStart"/>
            <w:r>
              <w:rPr>
                <w:rFonts w:ascii="標楷體" w:eastAsia="標楷體" w:hAnsi="標楷體" w:cs="標楷體"/>
              </w:rPr>
              <w:t>聯立方程式的解法</w:t>
            </w:r>
            <w:proofErr w:type="gramEnd"/>
            <w:r>
              <w:rPr>
                <w:rFonts w:ascii="標楷體" w:eastAsia="標楷體" w:hAnsi="標楷體" w:cs="標楷體"/>
              </w:rPr>
              <w:t>與應用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統計圖表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統計數據</w:t>
            </w:r>
          </w:p>
        </w:tc>
      </w:tr>
      <w:tr w:rsidR="00094222" w:rsidTr="00017E29">
        <w:trPr>
          <w:trHeight w:val="871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標準</w:t>
            </w:r>
            <w:proofErr w:type="gramStart"/>
            <w:r>
              <w:rPr>
                <w:rFonts w:ascii="標楷體" w:eastAsia="標楷體" w:hAnsi="標楷體" w:cs="標楷體"/>
              </w:rPr>
              <w:t>分解式與分數</w:t>
            </w:r>
            <w:proofErr w:type="gramEnd"/>
            <w:r>
              <w:rPr>
                <w:rFonts w:ascii="標楷體" w:eastAsia="標楷體" w:hAnsi="標楷體" w:cs="標楷體"/>
              </w:rPr>
              <w:t>運算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871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一元一次方程式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871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二元一次聯立方程式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871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直角坐標與二元一次</w:t>
            </w:r>
            <w:proofErr w:type="gramStart"/>
            <w:r>
              <w:rPr>
                <w:rFonts w:ascii="標楷體" w:eastAsia="標楷體" w:hAnsi="標楷體" w:cs="標楷體"/>
              </w:rPr>
              <w:t>聯立方程式的圖形</w:t>
            </w:r>
            <w:proofErr w:type="gramEnd"/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871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比與比例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871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一元一次不等式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871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線對稱與三視圖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872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統計圖表與數據分析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36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乘法公式與多項式</w:t>
            </w:r>
          </w:p>
        </w:tc>
        <w:tc>
          <w:tcPr>
            <w:tcW w:w="5670" w:type="dxa"/>
            <w:vMerge w:val="restart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二次方根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二次方根的近似值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認識數列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等差數列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等差級數求和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等比數列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角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凸</w:t>
            </w:r>
            <w:proofErr w:type="gramEnd"/>
            <w:r>
              <w:rPr>
                <w:rFonts w:ascii="標楷體" w:eastAsia="標楷體" w:hAnsi="標楷體" w:cs="標楷體"/>
              </w:rPr>
              <w:t>多邊形的內角</w:t>
            </w:r>
            <w:proofErr w:type="gramStart"/>
            <w:r>
              <w:rPr>
                <w:rFonts w:ascii="標楷體" w:eastAsia="標楷體" w:hAnsi="標楷體" w:cs="標楷體"/>
              </w:rPr>
              <w:t>和</w:t>
            </w:r>
            <w:proofErr w:type="gramEnd"/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平行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全等圖形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三角形的全等性質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畢氏定理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平面圖形的面積</w:t>
            </w:r>
          </w:p>
        </w:tc>
      </w:tr>
      <w:tr w:rsidR="00094222" w:rsidTr="00017E29">
        <w:trPr>
          <w:trHeight w:val="936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平方根與畢氏定理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36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12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因式分解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36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一元二次方程式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36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數列與級數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1152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平面幾何圖形</w:t>
            </w:r>
          </w:p>
        </w:tc>
        <w:tc>
          <w:tcPr>
            <w:tcW w:w="5670" w:type="dxa"/>
            <w:vMerge w:val="restart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三角形的基本性質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平行四邊形的基本性質正方形、長方形、</w:t>
            </w:r>
            <w:proofErr w:type="gramStart"/>
            <w:r>
              <w:rPr>
                <w:rFonts w:ascii="標楷體" w:eastAsia="標楷體" w:hAnsi="標楷體" w:cs="標楷體"/>
              </w:rPr>
              <w:t>箏形的</w:t>
            </w:r>
            <w:proofErr w:type="gramEnd"/>
            <w:r>
              <w:rPr>
                <w:rFonts w:ascii="標楷體" w:eastAsia="標楷體" w:hAnsi="標楷體" w:cs="標楷體"/>
              </w:rPr>
              <w:t>基本性質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梯形的基本性質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尺</w:t>
            </w:r>
            <w:proofErr w:type="gramStart"/>
            <w:r>
              <w:rPr>
                <w:rFonts w:ascii="標楷體" w:eastAsia="標楷體" w:hAnsi="標楷體" w:cs="標楷體"/>
              </w:rPr>
              <w:t>規</w:t>
            </w:r>
            <w:proofErr w:type="gramEnd"/>
            <w:r>
              <w:rPr>
                <w:rFonts w:ascii="標楷體" w:eastAsia="標楷體" w:hAnsi="標楷體" w:cs="標楷體"/>
              </w:rPr>
              <w:t>作圖與幾何推理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直角坐標系上兩點距離公式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二次式的乘法</w:t>
            </w:r>
            <w:proofErr w:type="gramEnd"/>
            <w:r>
              <w:rPr>
                <w:rFonts w:ascii="標楷體" w:eastAsia="標楷體" w:hAnsi="標楷體" w:cs="標楷體"/>
              </w:rPr>
              <w:t>公式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多項式的意義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多項式的四則運算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因式分解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因式分解的方法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一元二次方程式的意義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一元二次方程式的解法與應用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一次函數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一次函數的圖形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統計資料處理</w:t>
            </w:r>
          </w:p>
        </w:tc>
      </w:tr>
      <w:tr w:rsidR="00094222" w:rsidTr="00017E29">
        <w:trPr>
          <w:trHeight w:val="1152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三角形的基本性質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1152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17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平行與四邊形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1152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18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線型函數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1152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19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統計資料處理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68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相似形</w:t>
            </w:r>
          </w:p>
        </w:tc>
        <w:tc>
          <w:tcPr>
            <w:tcW w:w="5670" w:type="dxa"/>
            <w:vMerge w:val="restart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連比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相似形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三角形的相似性質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平行線</w:t>
            </w:r>
            <w:proofErr w:type="gramStart"/>
            <w:r>
              <w:rPr>
                <w:rFonts w:ascii="標楷體" w:eastAsia="標楷體" w:hAnsi="標楷體" w:cs="標楷體"/>
              </w:rPr>
              <w:t>截</w:t>
            </w:r>
            <w:proofErr w:type="gramEnd"/>
            <w:r>
              <w:rPr>
                <w:rFonts w:ascii="標楷體" w:eastAsia="標楷體" w:hAnsi="標楷體" w:cs="標楷體"/>
              </w:rPr>
              <w:t>比例線段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相似直角三角形邊長比值的不變性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圓弧長與扇形面積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圓的幾何性質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點、直線與圓的關係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三角形的外心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三角形的內心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三角形的重心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證明的意義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空間中的線與平面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表面積與體積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二次函數的意義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二次函數的圖形與極值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統計數據的分布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認識機率</w:t>
            </w:r>
          </w:p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古典機率</w:t>
            </w:r>
          </w:p>
        </w:tc>
      </w:tr>
      <w:tr w:rsidR="00094222" w:rsidTr="00017E29">
        <w:trPr>
          <w:trHeight w:val="969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圓的性質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68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22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推論證明與三角形的三心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69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23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二次函數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68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24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立體圖形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69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25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統計與機率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rPr>
          <w:trHeight w:val="969"/>
        </w:trPr>
        <w:tc>
          <w:tcPr>
            <w:tcW w:w="704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26</w:t>
            </w:r>
          </w:p>
        </w:tc>
        <w:tc>
          <w:tcPr>
            <w:tcW w:w="2977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連比例</w:t>
            </w:r>
          </w:p>
        </w:tc>
        <w:tc>
          <w:tcPr>
            <w:tcW w:w="567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</w:tbl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【社會領域】</w:t>
      </w:r>
    </w:p>
    <w:tbl>
      <w:tblPr>
        <w:tblStyle w:val="afc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歷史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基礎觀念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紀年與分期、考古發掘與史前文化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歷史考察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早期、清帝國時期、日本帝國時期、當代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從古典到傳統時代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從傳統到現代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現代國家的興起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當代東亞的局勢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古代文化的遺產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近代世界的變革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現代世界的發展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地理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基本概念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地理議題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田野觀察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世界中的臺灣、地形與海域、氣候與水文、人口與文化、產業發展、區域發展、地名文化、農業與食品安全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中國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大洋洲與兩極地區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17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季風亞洲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東北亞、東南亞和南亞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18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西亞與北非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19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漠</w:t>
            </w:r>
            <w:proofErr w:type="gramEnd"/>
            <w:r>
              <w:rPr>
                <w:rFonts w:ascii="標楷體" w:eastAsia="標楷體" w:hAnsi="標楷體" w:cs="標楷體"/>
              </w:rPr>
              <w:t>南非洲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歐洲與俄羅斯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美洲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22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公民與社會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公民議題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23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公民身分認同及社群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24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社會生活的組織及制度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社會的運作、治理及參與實踐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26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民主社會的理想及現實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</w:tbl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【自然領域】</w:t>
      </w:r>
    </w:p>
    <w:tbl>
      <w:tblPr>
        <w:tblStyle w:val="afd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生物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生物體的構造與功能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細胞的構造與功能、動植物體的構造與功能、生物體內的恆定性與調節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生物與環境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生物間的交互作用</w:t>
            </w:r>
            <w:proofErr w:type="gramEnd"/>
            <w:r>
              <w:rPr>
                <w:rFonts w:ascii="標楷體" w:eastAsia="標楷體" w:hAnsi="標楷體" w:cs="標楷體"/>
              </w:rPr>
              <w:t>、生物與環境的交互作用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理化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物質的組成與特性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物質組成與元素的週期性、物質的形態、性質及分類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能量的形式、轉換及流動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能量的形式與轉換、溫度與熱量、生物體內的能量與代謝、生態系中能量的流動與轉換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物質的結構與功能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物質的分離與鑑定、物質的結構與功能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物質系統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自然界的尺度與單位、力與運動、氣體、宇宙與天體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物質的反應、平衡及製造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物質反應規律、水溶液中的變化、氧化與還原反應、酸鹼反應、化學反應速率與平衡、有機化合物的性質、製備及反應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自然界的現象與交互作用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波動、光及聲音、萬有引力、電磁現象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地球科學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地球環境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組成地球的物質、地球與太空、生物圈的組成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演化與延續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生殖與遺傳、演化、生物多樣性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地球的歷史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地層與化石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變動的地球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地表與地殼的變動、天氣與氣候變化、海水的運動、晝夜與季節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資源與永續發展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永續發展與資源的利用、氣候變遷之影響與調適、能源的開發與利用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科學、科技、社會及人文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科學、技術及社會的互動關係、科學發展的歷史、科學在生活中的應用、天然災害與防治、環境汙染與防治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82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跨科主題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從原子到宇宙、能量與能源、全球氣候變遷與調適</w:t>
            </w:r>
          </w:p>
        </w:tc>
      </w:tr>
    </w:tbl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【藝術領域】</w:t>
      </w:r>
    </w:p>
    <w:tbl>
      <w:tblPr>
        <w:tblStyle w:val="afe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音樂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歌唱演奏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歌唱、演奏、樂理、指揮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創作展現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創作手法、作曲、其他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審美感知與理解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西洋音樂各時期風格與作品、二十世紀與之後的音樂風格與作品、臺灣音樂、世界音樂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音樂類型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聲樂、器樂、複合型(歌劇、音樂劇等)、其他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視覺藝術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創作表現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色彩理論、美的形式原理與構成原理、表現技法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藝術欣賞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藝術鑑賞、藝術風格(藝術史)、區域及各族群藝術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生活應用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校本課程、主題式課程、展覽策劃與執行、設計思考、生活美感、藝術工作者與藝術生涯規劃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表演藝術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戲劇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戲劇史、啞/默劇、說唱藝術、傳統戲曲、偶戲、音樂劇/音樂歌舞劇、說故事劇場、教育戲劇、其他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9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舞蹈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芭蕾、現代舞、街舞、臺灣舞蹈、世界舞蹈、其他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表演元素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肢體、聲音、其他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展演與實務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劇場行政、編劇、導演、展演場地、舞臺、燈光、化妝、服裝、道具、其他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影視多媒體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(新)媒體、電影/微電影、其他</w:t>
            </w:r>
          </w:p>
        </w:tc>
      </w:tr>
    </w:tbl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【綜合領域】</w:t>
      </w:r>
    </w:p>
    <w:tbl>
      <w:tblPr>
        <w:tblStyle w:val="aff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家政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飲食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飲食行為與綠色生活、食物資源的管理與運用、食品安全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衣著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服飾管理與消費、服飾與形象管理、織品的生活運用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生活管理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個人及家庭資源管理、生活文化與禮儀、創意生活與美化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家人關係與經營、家庭的發展變化與調適、家庭活動與共學、家庭文化與傳承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童軍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童軍精神與發展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童軍精神、童軍發展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服務行善與多元關懷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服務精神、服務行善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戶外生活與休閒知能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野外旅行知能、露營知能、戶外休閒活動知能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環境保育與永續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野外與生活的環保、休閒遊憩與環保實踐、戶外休閒與環境議題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輔導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自我成長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自我探索與尊重差異、青少年身心發展與自我成長、珍視與尊重生命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自主學習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自我管理與態度培養、學習策略與資源、高層次學習與多元學習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生涯發展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生涯發展與個人統整、教育進路與職</w:t>
            </w: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發展、生涯規劃、抉擇與行動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生活適應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正向習性與心理調適、生活困擾與危機因應、人際關係與團體互動、性別與多元文化社會</w:t>
            </w:r>
          </w:p>
        </w:tc>
      </w:tr>
    </w:tbl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【科技領域】</w:t>
      </w:r>
    </w:p>
    <w:tbl>
      <w:tblPr>
        <w:tblStyle w:val="aff0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資訊科技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演算法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演算法基本概念(問題解析、流程控制)、陣列資料結構的概念與應用、基本演算法的介紹(搜尋、排序)、陣列程式設計實作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程式設計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程式語言基本概念、功能及應用、結構化程式設計(循序、選擇、重複)、模組化程式設計的概念、模組化程式設計與問題解決實作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系統平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系統平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重要發展與演進、系統平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之組成架構與基本運作原理、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資料表示、處理及分析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資料處理應用專題、個人資料保護、網路技術的概念與介紹、網路服務的概念與介紹、資料數位化之原理與方法、數位資料的表示方法、資料處理概念與方法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資訊科技應用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資訊科技合理使用原則、資訊安全、資訊科技應用專題(程式設計)、資訊科技應用專題(多媒體)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資訊科技與人類社會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媒體與資訊科技相關社會議題、資訊倫理與法律、資訊科技對人類生活之影響、常見資訊產業的特性與種類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生活科技</w:t>
            </w: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科技的本質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科技的起源與演進、科技的系統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設計與製作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創意思考的方法、設計圖的繪製、手工具的操作與使用、設計的流程、材料的選用與加工處理、常用的機具操作與使用、產品的設計與發展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科技的應用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日常科技產品的選用、日常科技產品的機構與結構應用、日常科技產品的保養與維護、日常科技產品的能源與動力應用、日常科技產品的電與控制應用、新興科技的應用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科技與社會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科技與社會的互動關係、科技對社會與環境的影響、科技議題的探究、科技產業的發展</w:t>
            </w:r>
          </w:p>
        </w:tc>
      </w:tr>
      <w:tr w:rsidR="00094222" w:rsidTr="00017E29">
        <w:tc>
          <w:tcPr>
            <w:tcW w:w="703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生涯發展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生涯發展與個人統整、教育進路與職</w:t>
            </w: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發展、生涯規劃、抉擇與行動</w:t>
            </w:r>
          </w:p>
        </w:tc>
      </w:tr>
    </w:tbl>
    <w:p w:rsidR="00094222" w:rsidRDefault="00094222" w:rsidP="00094222">
      <w:pPr>
        <w:widowControl/>
        <w:spacing w:before="240" w:after="240"/>
        <w:rPr>
          <w:rFonts w:ascii="標楷體" w:eastAsia="標楷體" w:hAnsi="標楷體" w:cs="標楷體"/>
          <w:b/>
          <w:sz w:val="32"/>
          <w:szCs w:val="32"/>
        </w:rPr>
      </w:pPr>
    </w:p>
    <w:p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【健體領域】</w:t>
      </w:r>
    </w:p>
    <w:tbl>
      <w:tblPr>
        <w:tblStyle w:val="aff1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840"/>
        <w:gridCol w:w="2139"/>
        <w:gridCol w:w="6520"/>
      </w:tblGrid>
      <w:tr w:rsidR="00094222" w:rsidTr="00017E29">
        <w:trPr>
          <w:trHeight w:val="70"/>
        </w:trPr>
        <w:tc>
          <w:tcPr>
            <w:tcW w:w="702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4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39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40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健康教育</w:t>
            </w: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生長、發展與體適能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生長、發育、老化與死亡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安全生活與運動安全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安全教育與急救、藥物教育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群體健康與運動參與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健康環境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個人衛生與性教育身心健康與疾病預防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個人衛生與保健、性教育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人、食物與健康消費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人與食物、健康消費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身心健康與疾</w:t>
            </w:r>
          </w:p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病預防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健康心理、健康促進與疾病預防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40" w:type="dxa"/>
            <w:vMerge w:val="restart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體育</w:t>
            </w: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生長、發展與體適能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體適能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安全生活與運動安全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運動傷害與防護、防衛性運動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群體健康與運動參與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運動知識、水域休閒運動、戶外休閒運動、其他休閒運動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挑戰類型運動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田徑、游泳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競爭類型運動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網/</w:t>
            </w:r>
            <w:proofErr w:type="gramStart"/>
            <w:r>
              <w:rPr>
                <w:rFonts w:ascii="標楷體" w:eastAsia="標楷體" w:hAnsi="標楷體" w:cs="標楷體"/>
              </w:rPr>
              <w:t>牆性球類</w:t>
            </w:r>
            <w:proofErr w:type="gramEnd"/>
            <w:r>
              <w:rPr>
                <w:rFonts w:ascii="標楷體" w:eastAsia="標楷體" w:hAnsi="標楷體" w:cs="標楷體"/>
              </w:rPr>
              <w:t>運動、陣地攻守性球類運動、標的性球類運動、守備/</w:t>
            </w:r>
            <w:proofErr w:type="gramStart"/>
            <w:r>
              <w:rPr>
                <w:rFonts w:ascii="標楷體" w:eastAsia="標楷體" w:hAnsi="標楷體" w:cs="標楷體"/>
              </w:rPr>
              <w:t>跑分性</w:t>
            </w:r>
            <w:proofErr w:type="gramEnd"/>
            <w:r>
              <w:rPr>
                <w:rFonts w:ascii="標楷體" w:eastAsia="標楷體" w:hAnsi="標楷體" w:cs="標楷體"/>
              </w:rPr>
              <w:t>球類運動</w:t>
            </w:r>
          </w:p>
        </w:tc>
      </w:tr>
      <w:tr w:rsidR="00094222" w:rsidTr="00017E29">
        <w:tc>
          <w:tcPr>
            <w:tcW w:w="702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40" w:type="dxa"/>
            <w:vMerge/>
            <w:vAlign w:val="center"/>
          </w:tcPr>
          <w:p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表現類型運動</w:t>
            </w:r>
          </w:p>
        </w:tc>
        <w:tc>
          <w:tcPr>
            <w:tcW w:w="6520" w:type="dxa"/>
            <w:vAlign w:val="center"/>
          </w:tcPr>
          <w:p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體操、舞蹈、民俗運動</w:t>
            </w:r>
          </w:p>
        </w:tc>
      </w:tr>
    </w:tbl>
    <w:p w:rsidR="00094222" w:rsidRDefault="00094222" w:rsidP="00094222">
      <w:pPr>
        <w:widowControl/>
        <w:rPr>
          <w:rFonts w:ascii="標楷體" w:eastAsia="標楷體" w:hAnsi="標楷體" w:cs="標楷體"/>
        </w:rPr>
      </w:pPr>
    </w:p>
    <w:p w:rsidR="00094222" w:rsidRDefault="00094222" w:rsidP="00094222">
      <w:pPr>
        <w:spacing w:line="480" w:lineRule="auto"/>
        <w:rPr>
          <w:rFonts w:ascii="標楷體" w:eastAsia="標楷體" w:hAnsi="標楷體" w:cs="標楷體"/>
          <w:color w:val="000000"/>
        </w:rPr>
      </w:pPr>
    </w:p>
    <w:p w:rsidR="00094222" w:rsidRPr="00957740" w:rsidRDefault="00094222" w:rsidP="00094222">
      <w:pPr>
        <w:widowControl/>
        <w:rPr>
          <w:rFonts w:ascii="標楷體" w:eastAsia="標楷體" w:hAnsi="標楷體" w:cs="標楷體"/>
        </w:rPr>
      </w:pPr>
    </w:p>
    <w:p w:rsidR="00DD7C1B" w:rsidRPr="00094222" w:rsidRDefault="00DD7C1B" w:rsidP="00DD7C1B">
      <w:pPr>
        <w:spacing w:line="360" w:lineRule="auto"/>
        <w:rPr>
          <w:rFonts w:ascii="標楷體" w:eastAsia="標楷體" w:hAnsi="標楷體" w:cs="標楷體"/>
        </w:rPr>
      </w:pPr>
    </w:p>
    <w:sectPr w:rsidR="00DD7C1B" w:rsidRPr="00094222" w:rsidSect="00DD7C1B">
      <w:footerReference w:type="default" r:id="rId10"/>
      <w:pgSz w:w="11906" w:h="16838"/>
      <w:pgMar w:top="1418" w:right="1418" w:bottom="1418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6D2" w:rsidRDefault="00A846D2">
      <w:r>
        <w:separator/>
      </w:r>
    </w:p>
  </w:endnote>
  <w:endnote w:type="continuationSeparator" w:id="0">
    <w:p w:rsidR="00A846D2" w:rsidRDefault="00A8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740" w:rsidRDefault="0095774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6D2" w:rsidRDefault="00A846D2">
      <w:r>
        <w:separator/>
      </w:r>
    </w:p>
  </w:footnote>
  <w:footnote w:type="continuationSeparator" w:id="0">
    <w:p w:rsidR="00A846D2" w:rsidRDefault="00A84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81D65"/>
    <w:multiLevelType w:val="multilevel"/>
    <w:tmpl w:val="C2445234"/>
    <w:lvl w:ilvl="0">
      <w:start w:val="1"/>
      <w:numFmt w:val="decimal"/>
      <w:lvlText w:val="%1."/>
      <w:lvlJc w:val="left"/>
      <w:pPr>
        <w:ind w:left="756" w:hanging="360"/>
      </w:pPr>
    </w:lvl>
    <w:lvl w:ilvl="1">
      <w:start w:val="1"/>
      <w:numFmt w:val="decimal"/>
      <w:lvlText w:val="%2、"/>
      <w:lvlJc w:val="left"/>
      <w:pPr>
        <w:ind w:left="1356" w:hanging="480"/>
      </w:pPr>
    </w:lvl>
    <w:lvl w:ilvl="2">
      <w:start w:val="1"/>
      <w:numFmt w:val="lowerRoman"/>
      <w:lvlText w:val="%3."/>
      <w:lvlJc w:val="right"/>
      <w:pPr>
        <w:ind w:left="1836" w:hanging="480"/>
      </w:pPr>
    </w:lvl>
    <w:lvl w:ilvl="3">
      <w:start w:val="1"/>
      <w:numFmt w:val="decimal"/>
      <w:lvlText w:val="%4."/>
      <w:lvlJc w:val="left"/>
      <w:pPr>
        <w:ind w:left="2316" w:hanging="480"/>
      </w:pPr>
    </w:lvl>
    <w:lvl w:ilvl="4">
      <w:start w:val="1"/>
      <w:numFmt w:val="decimal"/>
      <w:lvlText w:val="%5、"/>
      <w:lvlJc w:val="left"/>
      <w:pPr>
        <w:ind w:left="2796" w:hanging="480"/>
      </w:pPr>
    </w:lvl>
    <w:lvl w:ilvl="5">
      <w:start w:val="1"/>
      <w:numFmt w:val="lowerRoman"/>
      <w:lvlText w:val="%6."/>
      <w:lvlJc w:val="right"/>
      <w:pPr>
        <w:ind w:left="3276" w:hanging="480"/>
      </w:pPr>
    </w:lvl>
    <w:lvl w:ilvl="6">
      <w:start w:val="1"/>
      <w:numFmt w:val="decimal"/>
      <w:lvlText w:val="%7."/>
      <w:lvlJc w:val="left"/>
      <w:pPr>
        <w:ind w:left="3756" w:hanging="480"/>
      </w:pPr>
    </w:lvl>
    <w:lvl w:ilvl="7">
      <w:start w:val="1"/>
      <w:numFmt w:val="decimal"/>
      <w:lvlText w:val="%8、"/>
      <w:lvlJc w:val="left"/>
      <w:pPr>
        <w:ind w:left="4236" w:hanging="480"/>
      </w:pPr>
    </w:lvl>
    <w:lvl w:ilvl="8">
      <w:start w:val="1"/>
      <w:numFmt w:val="lowerRoman"/>
      <w:lvlText w:val="%9."/>
      <w:lvlJc w:val="right"/>
      <w:pPr>
        <w:ind w:left="4716" w:hanging="480"/>
      </w:pPr>
    </w:lvl>
  </w:abstractNum>
  <w:abstractNum w:abstractNumId="1" w15:restartNumberingAfterBreak="0">
    <w:nsid w:val="2C143BD6"/>
    <w:multiLevelType w:val="multilevel"/>
    <w:tmpl w:val="8E1689C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666164"/>
    <w:multiLevelType w:val="multilevel"/>
    <w:tmpl w:val="06FAF4C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BC2"/>
    <w:rsid w:val="00094222"/>
    <w:rsid w:val="000A6194"/>
    <w:rsid w:val="005D0BC2"/>
    <w:rsid w:val="007A0DB5"/>
    <w:rsid w:val="00957740"/>
    <w:rsid w:val="00A846D2"/>
    <w:rsid w:val="00B40526"/>
    <w:rsid w:val="00B903BC"/>
    <w:rsid w:val="00BE4880"/>
    <w:rsid w:val="00CD2870"/>
    <w:rsid w:val="00DD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6774DA"/>
  <w15:docId w15:val="{A7C481D4-0B33-4538-A1B8-2EE6EE72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427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4277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144CD"/>
  </w:style>
  <w:style w:type="character" w:customStyle="1" w:styleId="ad">
    <w:name w:val="註解文字 字元"/>
    <w:basedOn w:val="a0"/>
    <w:link w:val="ac"/>
    <w:uiPriority w:val="99"/>
    <w:rsid w:val="00F144CD"/>
  </w:style>
  <w:style w:type="paragraph" w:styleId="ae">
    <w:name w:val="annotation subject"/>
    <w:basedOn w:val="ac"/>
    <w:next w:val="ac"/>
    <w:link w:val="af"/>
    <w:uiPriority w:val="99"/>
    <w:semiHidden/>
    <w:unhideWhenUsed/>
    <w:rsid w:val="00F144C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144C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3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5">
    <w:name w:val="清單段落 字元"/>
    <w:link w:val="a4"/>
    <w:uiPriority w:val="34"/>
    <w:locked/>
    <w:rsid w:val="008775DF"/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pL3+Kolh9c/qkI6nJoe/wddIOQ==">AMUW2mXOoSgXXud0YfH16YbJ+kKp1D6LQrVBwah/ovdpO6hc8PpjQERXnpJRH2PScWvLkmlCDodySF+3Q2dvlMG36buQlX8NhflYsDRNFMhkPl9iHgAdByYkWmSDMNEFY9o3DBTX3tAQ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C1A54E-DE13-417C-A544-59540C780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2022-02-11T07:11:00Z</dcterms:created>
  <dcterms:modified xsi:type="dcterms:W3CDTF">2022-02-11T07:11:00Z</dcterms:modified>
</cp:coreProperties>
</file>